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B3CAF" w:rsidR="00A24FFC" w:rsidP="00FB3CAF" w:rsidRDefault="00E87601" w14:paraId="6C6EB4F3" w14:textId="77777777">
      <w:pPr>
        <w:pStyle w:val="1"/>
        <w:spacing w:line="360" w:lineRule="exact"/>
        <w:rPr>
          <w:rFonts w:ascii="新細明體" w:hAnsi="新細明體" w:eastAsia="新細明體" w:cs="新細明體"/>
          <w:color w:val="000000"/>
        </w:rPr>
      </w:pPr>
      <w:r w:rsidRPr="00F6439B">
        <w:rPr>
          <w:rFonts w:hint="eastAsia" w:ascii="新細明體" w:hAnsi="新細明體" w:eastAsia="新細明體" w:cs="新細明體"/>
          <w:color w:val="000000"/>
        </w:rPr>
        <w:t>期貨商經營證券交易輔助業務內部控制制度標準規範</w:t>
      </w:r>
      <w:proofErr w:type="gramStart"/>
      <w:r w:rsidRPr="00F6439B">
        <w:rPr>
          <w:rFonts w:hint="eastAsia" w:ascii="新細明體" w:hAnsi="新細明體" w:eastAsia="新細明體" w:cs="新細明體"/>
          <w:color w:val="000000"/>
        </w:rPr>
        <w:t>─</w:t>
      </w:r>
      <w:proofErr w:type="gramEnd"/>
      <w:r w:rsidRPr="00F6439B">
        <w:rPr>
          <w:rFonts w:hint="eastAsia" w:ascii="新細明體" w:hAnsi="新細明體" w:eastAsia="新細明體" w:cs="新細明體"/>
          <w:color w:val="000000"/>
        </w:rPr>
        <w:t>內部控制制度修</w:t>
      </w:r>
      <w:r w:rsidRPr="00F6439B" w:rsidR="00D25C08">
        <w:rPr>
          <w:rFonts w:hint="eastAsia" w:ascii="新細明體" w:hAnsi="新細明體" w:eastAsia="新細明體" w:cs="新細明體"/>
          <w:color w:val="000000"/>
        </w:rPr>
        <w:t>正</w:t>
      </w:r>
      <w:r w:rsidRPr="00F6439B">
        <w:rPr>
          <w:rFonts w:hint="eastAsia" w:ascii="新細明體" w:hAnsi="新細明體" w:eastAsia="新細明體" w:cs="新細明體"/>
          <w:color w:val="000000"/>
        </w:rPr>
        <w:t>對照表</w:t>
      </w:r>
      <w:bookmarkStart w:name="Article_Eff_Date" w:id="1"/>
      <w:r w:rsidRPr="0031289E" w:rsidR="0031289E">
        <w:rPr>
          <w:rFonts w:hint="eastAsia" w:ascii="新細明體" w:hAnsi="新細明體" w:eastAsia="新細明體" w:cs="新細明體"/>
          <w:color w:val="000000"/>
        </w:rPr>
        <w:t>草案</w:t>
      </w:r>
      <w:bookmarkEnd w:id="1"/>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84"/>
        <w:gridCol w:w="1276"/>
        <w:gridCol w:w="5386"/>
        <w:gridCol w:w="5387"/>
        <w:gridCol w:w="2023"/>
      </w:tblGrid>
      <w:tr w:rsidRPr="00F6439B" w:rsidR="001E533B" w:rsidTr="004A29F0" w14:paraId="5B8288D9" w14:textId="77777777">
        <w:trPr>
          <w:tblHeader/>
        </w:trPr>
        <w:tc>
          <w:tcPr>
            <w:tcW w:w="1384" w:type="dxa"/>
            <w:tcBorders>
              <w:top w:val="single" w:color="auto" w:sz="12" w:space="0"/>
              <w:left w:val="single" w:color="auto" w:sz="12" w:space="0"/>
              <w:bottom w:val="single" w:color="auto" w:sz="12" w:space="0"/>
            </w:tcBorders>
            <w:shd w:val="clear" w:color="auto" w:fill="auto"/>
          </w:tcPr>
          <w:p w:rsidRPr="00F6439B" w:rsidR="001E533B" w:rsidP="00F6439B" w:rsidRDefault="00FB3CAF" w14:paraId="6E20BAD9" w14:textId="77777777">
            <w:pPr>
              <w:jc w:val="center"/>
              <w:rPr>
                <w:rFonts w:ascii="新細明體" w:hAnsi="新細明體" w:eastAsia="新細明體"/>
              </w:rPr>
            </w:pPr>
            <w:r w:rsidRPr="00F6439B">
              <w:rPr>
                <w:rFonts w:hint="eastAsia" w:ascii="新細明體" w:hAnsi="新細明體" w:eastAsia="新細明體"/>
              </w:rPr>
              <w:t>編號</w:t>
            </w:r>
          </w:p>
        </w:tc>
        <w:tc>
          <w:tcPr>
            <w:tcW w:w="1276" w:type="dxa"/>
            <w:tcBorders>
              <w:top w:val="single" w:color="auto" w:sz="12" w:space="0"/>
              <w:bottom w:val="single" w:color="auto" w:sz="12" w:space="0"/>
            </w:tcBorders>
            <w:shd w:val="clear" w:color="auto" w:fill="auto"/>
          </w:tcPr>
          <w:p w:rsidRPr="00F6439B" w:rsidR="00A24FFC" w:rsidP="001E533B" w:rsidRDefault="001E533B" w14:paraId="78ACF850" w14:textId="77777777">
            <w:pPr>
              <w:rPr>
                <w:rFonts w:ascii="新細明體" w:hAnsi="新細明體" w:eastAsia="新細明體"/>
              </w:rPr>
            </w:pPr>
            <w:r w:rsidRPr="00F6439B">
              <w:rPr>
                <w:rFonts w:hint="eastAsia" w:ascii="新細明體" w:hAnsi="新細明體" w:eastAsia="新細明體"/>
              </w:rPr>
              <w:t>作業項目</w:t>
            </w:r>
          </w:p>
        </w:tc>
        <w:tc>
          <w:tcPr>
            <w:tcW w:w="5386" w:type="dxa"/>
            <w:tcBorders>
              <w:top w:val="single" w:color="auto" w:sz="12" w:space="0"/>
              <w:bottom w:val="single" w:color="auto" w:sz="12" w:space="0"/>
            </w:tcBorders>
            <w:shd w:val="clear" w:color="auto" w:fill="auto"/>
          </w:tcPr>
          <w:p w:rsidRPr="00F6439B" w:rsidR="00A24FFC" w:rsidP="00F6439B" w:rsidRDefault="001E533B" w14:paraId="1EBEFB0B" w14:textId="77777777">
            <w:pPr>
              <w:jc w:val="center"/>
              <w:rPr>
                <w:rFonts w:ascii="新細明體" w:hAnsi="新細明體" w:eastAsia="新細明體"/>
              </w:rPr>
            </w:pPr>
            <w:r w:rsidRPr="00F6439B">
              <w:rPr>
                <w:rFonts w:hint="eastAsia" w:ascii="新細明體" w:hAnsi="新細明體" w:eastAsia="新細明體" w:cs="新細明體"/>
                <w:color w:val="000000"/>
              </w:rPr>
              <w:t>修正後內容</w:t>
            </w:r>
          </w:p>
        </w:tc>
        <w:tc>
          <w:tcPr>
            <w:tcW w:w="5387" w:type="dxa"/>
            <w:tcBorders>
              <w:top w:val="single" w:color="auto" w:sz="12" w:space="0"/>
              <w:bottom w:val="single" w:color="auto" w:sz="12" w:space="0"/>
            </w:tcBorders>
            <w:shd w:val="clear" w:color="auto" w:fill="auto"/>
          </w:tcPr>
          <w:p w:rsidRPr="00F6439B" w:rsidR="00A24FFC" w:rsidP="00F6439B" w:rsidRDefault="001E533B" w14:paraId="1FB190B7" w14:textId="77777777">
            <w:pPr>
              <w:jc w:val="center"/>
              <w:rPr>
                <w:rFonts w:ascii="新細明體" w:hAnsi="新細明體" w:eastAsia="新細明體"/>
              </w:rPr>
            </w:pPr>
            <w:r w:rsidRPr="00F6439B">
              <w:rPr>
                <w:rFonts w:hint="eastAsia" w:ascii="新細明體" w:hAnsi="新細明體" w:eastAsia="新細明體" w:cs="新細明體"/>
                <w:color w:val="000000"/>
              </w:rPr>
              <w:t>修正前內容</w:t>
            </w:r>
          </w:p>
        </w:tc>
        <w:tc>
          <w:tcPr>
            <w:tcW w:w="2023" w:type="dxa"/>
            <w:tcBorders>
              <w:top w:val="single" w:color="auto" w:sz="12" w:space="0"/>
              <w:bottom w:val="single" w:color="auto" w:sz="12" w:space="0"/>
              <w:right w:val="single" w:color="auto" w:sz="12" w:space="0"/>
            </w:tcBorders>
            <w:shd w:val="clear" w:color="auto" w:fill="auto"/>
          </w:tcPr>
          <w:p w:rsidRPr="00F6439B" w:rsidR="00A24FFC" w:rsidP="00F6439B" w:rsidRDefault="00C904D3" w14:paraId="7A098D66" w14:textId="77777777">
            <w:pPr>
              <w:jc w:val="center"/>
              <w:rPr>
                <w:rFonts w:ascii="新細明體" w:hAnsi="新細明體" w:eastAsia="新細明體"/>
              </w:rPr>
            </w:pPr>
            <w:r w:rsidRPr="00F6439B">
              <w:rPr>
                <w:rFonts w:hint="eastAsia" w:ascii="新細明體" w:hAnsi="新細明體" w:eastAsia="新細明體" w:cs="新細明體"/>
                <w:color w:val="000000"/>
              </w:rPr>
              <w:t>修正說明</w:t>
            </w:r>
          </w:p>
        </w:tc>
      </w:tr>
      <w:tr w:rsidRPr="00F6439B" w:rsidR="003B3105" w14:paraId="6F801B14" w14:textId="77777777">
        <w:tc>
          <w:tcPr>
            <w:tcW w:w="1384" w:type="dxa"/>
            <w:vMerge w:val="restart"/>
            <w:tcBorders>
              <w:top w:val="single" w:color="auto" w:sz="12" w:space="0"/>
              <w:left w:val="single" w:color="auto" w:sz="12" w:space="0"/>
            </w:tcBorders>
            <w:shd w:val="clear" w:color="auto" w:fill="auto"/>
          </w:tcPr>
          <w:p w:rsidRPr="00F6439B" w:rsidR="003B3105" w:rsidP="001E533B" w:rsidRDefault="003B3105" w14:paraId="39C8E458" w14:textId="3C93645F">
            <w:pPr>
              <w:rPr>
                <w:rFonts w:ascii="新細明體" w:hAnsi="新細明體" w:eastAsia="新細明體"/>
              </w:rPr>
            </w:pPr>
            <w:r>
              <w:rPr>
                <w:rFonts w:hint="eastAsia" w:ascii="新細明體" w:hAnsi="新細明體" w:eastAsia="新細明體"/>
              </w:rPr>
              <w:t>CO-60000</w:t>
            </w:r>
          </w:p>
        </w:tc>
        <w:tc>
          <w:tcPr>
            <w:tcW w:w="1276" w:type="dxa"/>
            <w:vMerge w:val="restart"/>
            <w:tcBorders>
              <w:top w:val="single" w:color="auto" w:sz="12" w:space="0"/>
            </w:tcBorders>
            <w:shd w:val="clear" w:color="auto" w:fill="auto"/>
          </w:tcPr>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總則</w:t>
            </w:r>
          </w:p>
        </w:tc>
        <w:tc>
          <w:tcPr>
            <w:tcW w:w="5386" w:type="dxa"/>
            <w:tcBorders>
              <w:top w:val="single" w:color="auto" w:sz="12" w:space="0"/>
              <w:bottom w:val="nil"/>
            </w:tcBorders>
            <w:shd w:val="clear" w:color="auto" w:fill="auto"/>
          </w:tcPr>
          <w:p w:rsidRPr="003B3105" w:rsidR="003B3105" w:rsidP="003B3105" w:rsidRDefault="003B3105" w14:paraId="1A6552A0"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作業程序及控制重點：</w:t>
            </w:r>
          </w:p>
        </w:tc>
        <w:tc>
          <w:tcPr>
            <w:tcW w:w="5387" w:type="dxa"/>
            <w:tcBorders>
              <w:top w:val="single" w:color="auto" w:sz="12" w:space="0"/>
              <w:bottom w:val="nil"/>
            </w:tcBorders>
            <w:shd w:val="clear" w:color="auto" w:fill="auto"/>
          </w:tcPr>
          <w:p w:rsidRPr="003B3105" w:rsidR="003B3105" w:rsidP="003B3105" w:rsidRDefault="003B3105" w14:paraId="3C1F8D55"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作業程序及控制重點：</w:t>
            </w:r>
          </w:p>
        </w:tc>
        <w:tc>
          <w:tcPr>
            <w:tcW w:w="2023" w:type="dxa"/>
            <w:vMerge w:val="restart"/>
            <w:tcBorders>
              <w:top w:val="single" w:color="auto" w:sz="12" w:space="0"/>
              <w:right w:val="single" w:color="auto" w:sz="12" w:space="0"/>
            </w:tcBorders>
            <w:shd w:val="clear" w:color="auto" w:fill="auto"/>
          </w:tcPr>
          <w:p w:rsidRPr="00F6439B" w:rsidR="003B3105" w:rsidP="003B3105" w:rsidRDefault="003B3105" w14:paraId="217DBB1D" w14:textId="77777777">
            <w:pPr>
              <w:spacing w:line="360" w:lineRule="exact"/>
              <w:ind w:left="28" w:right="28"/>
              <w:rPr>
                <w:rFonts w:ascii="新細明體" w:hAnsi="新細明體" w:eastAsia="新細明體"/>
              </w:rPr>
            </w:pPr>
            <w:r>
              <w:rPr>
                <w:rFonts w:hint="eastAsia" w:ascii="新細明體" w:hAnsi="新細明體" w:eastAsia="新細明體" w:cs="Times New Roman"/>
                <w:color w:val="FF0000"/>
                <w:spacing w:val="20"/>
                <w:szCs w:val="20"/>
                <w:u w:val="single"/>
              </w:rPr>
              <w:t>配合主管機關114年9月2日金管證券字第1140346348號令明定證券商應設置之專任內部稽核最低人數，爰修正之。</w:t>
            </w: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訂定依據：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訂定依據：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99"/>
            </w:pPr>
            <w:r>
              <w:rPr>
                <w:rFonts w:hint="eastAsia" w:ascii="新細明體" w:hAnsi="新細明體" w:eastAsia="新細明體" w:cs="新細明體"/>
              </w:rPr>
              <w:t>「期貨商經營證券交易輔助業務管理規則」第九條規定，期貨商經營證券交易輔助業務者（以下簡稱證券交易輔助人）應依證券交易所等證券相關機構共同訂定之期貨商經營證券交易輔助業務內部控制制度標準規範之規定，訂定內部控制制度。</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99"/>
            </w:pPr>
            <w:r>
              <w:rPr>
                <w:rFonts w:hint="eastAsia" w:ascii="新細明體" w:hAnsi="新細明體" w:eastAsia="新細明體" w:cs="新細明體"/>
              </w:rPr>
              <w:t>「期貨商經營證券交易輔助業務管理規則」第九條規定，期貨商經營證券交易輔助業務者（以下簡稱證券交易輔助人）應依證券交易所等證券相關機構共同訂定之期貨商經營證券交易輔助業務內部控制制度標準規範之規定，訂定內部控制制度。</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99"/>
            </w:pPr>
            <w:r>
              <w:rPr>
                <w:rFonts w:hint="eastAsia" w:ascii="新細明體" w:hAnsi="新細明體" w:eastAsia="新細明體" w:cs="新細明體"/>
              </w:rPr>
              <w:t>本標準規範依據「證券暨期貨市場各服務事業建立內部控制制度處理準則」等相關法規編製而成。</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99"/>
            </w:pPr>
            <w:r>
              <w:rPr>
                <w:rFonts w:hint="eastAsia" w:ascii="新細明體" w:hAnsi="新細明體" w:eastAsia="新細明體" w:cs="新細明體"/>
              </w:rPr>
              <w:t>本標準規範依據「證券暨期貨市場各服務事業建立內部控制制度處理準則」等相關法規編製而成。</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99"/>
            </w:pPr>
            <w:r>
              <w:rPr>
                <w:rFonts w:hint="eastAsia" w:ascii="新細明體" w:hAnsi="新細明體" w:eastAsia="新細明體" w:cs="新細明體"/>
              </w:rPr>
              <w:t>本標準規範係為各證券交易輔助人訂定內部控制制度之最低要求標準，各證券交易輔助人仍應視其規模、業務範圍等訂定有效之內部控制制度之規範。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99"/>
            </w:pPr>
            <w:r>
              <w:rPr>
                <w:rFonts w:hint="eastAsia" w:ascii="新細明體" w:hAnsi="新細明體" w:eastAsia="新細明體" w:cs="新細明體"/>
              </w:rPr>
              <w:t>本標準規範係為各證券交易輔助人訂定內部控制制度之最低要求標準，各證券交易輔助人仍應視其規模、業務範圍等訂定有效之內部控制制度之規範。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本標準規範之使用：</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本標準規範之使用：</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(一)</w:t>
            </w:r>
            <w:r>
              <w:rPr>
                <w:rFonts w:hint="eastAsia" w:ascii="新細明體" w:hAnsi="新細明體" w:eastAsia="新細明體" w:cs="新細明體"/>
              </w:rPr>
              <w:t>內部控制制度之設計，須考量公司控制環境、風險評估、控制作業、資訊及溝通、監督等控制因素訂定。本標準規範主要目的在提供形式上的範例，供各證券交易輔助人編製內部控制制度時之參考；至於實質內容，由於各證券交易輔助人規模大小、組織架構、管理方式不一，故本標準規範僅就該制度之控制重點作原則性規範，對各相關之內部管理控制用之規章、辦法、要點，如員工管理規則、印鑑使用管理規章、會計制度等，則由各證券交易輔助人就其授權、核准、執行程序及相關控制表單自行訂立書面制度。</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(一)</w:t>
            </w:r>
            <w:r>
              <w:rPr>
                <w:rFonts w:hint="eastAsia" w:ascii="新細明體" w:hAnsi="新細明體" w:eastAsia="新細明體" w:cs="新細明體"/>
              </w:rPr>
              <w:t>內部控制制度之設計，須考量公司控制環境、風險評估、控制作業、資訊及溝通、監督等控制因素訂定。本標準規範主要目的在提供形式上的範例，供各證券交易輔助人編製內部控制制度時之參考；至於實質內容，由於各證券交易輔助人規模大小、組織架構、管理方式不一，故本標準規範僅就該制度之控制重點作原則性規範，對各相關之內部管理控制用之規章、辦法、要點，如員工管理規則、印鑑使用管理規章、會計制度等，則由各證券交易輔助人就其授權、核准、執行程序及相關控制表單自行訂立書面制度。</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(二)</w:t>
            </w:r>
            <w:r>
              <w:rPr>
                <w:rFonts w:hint="eastAsia" w:ascii="新細明體" w:hAnsi="新細明體" w:eastAsia="新細明體" w:cs="新細明體"/>
              </w:rPr>
              <w:t>各證券交易輔助人自訂之內部控制制度，其作業程序及控制重點至少應包括本標準規範所訂內容，並得視公司本身經營狀況自行增列控制重點，惟自行增列部分，不得違反相關法令規章或集保作業手冊等規定。爾後如有法令增、修訂或公司內、外在情況變動等情事，應依最新法令規章要求辦理，並即配合檢討、修正其內部控制制度內容，以確保制度之完整性及有效性。</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(二)</w:t>
            </w:r>
            <w:r>
              <w:rPr>
                <w:rFonts w:hint="eastAsia" w:ascii="新細明體" w:hAnsi="新細明體" w:eastAsia="新細明體" w:cs="新細明體"/>
              </w:rPr>
              <w:t>各證券交易輔助人自訂之內部控制制度，其作業程序及控制重點至少應包括本標準規範所訂內容，並得視公司本身經營狀況自行增列控制重點，惟自行增列部分，不得違反相關法令規章或集保作業手冊等規定。爾後如有法令增、修訂或公司內、外在情況變動等情事，應依最新法令規章要求辦理，並即配合檢討、修正其內部控制制度內容，以確保制度之完整性及有效性。</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(三)</w:t>
            </w:r>
            <w:r>
              <w:rPr>
                <w:rFonts w:hint="eastAsia" w:ascii="新細明體" w:hAnsi="新細明體" w:eastAsia="新細明體" w:cs="新細明體"/>
              </w:rPr>
              <w:t>本標準規範中各單位名稱簡稱如下：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(三)</w:t>
            </w:r>
            <w:r>
              <w:rPr>
                <w:rFonts w:hint="eastAsia" w:ascii="新細明體" w:hAnsi="新細明體" w:eastAsia="新細明體" w:cs="新細明體"/>
              </w:rPr>
              <w:t>本標準規範中各單位名稱簡稱如下：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金融監督管理委員會：主管機關</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金融監督管理委員會：主管機關</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臺灣證券交易所股份有限公司：證交所</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臺灣證券交易所股份有限公司：證交所</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財團法人中華民國證券櫃檯買賣中心：櫃檯買賣中心</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財團法人中華民國證券櫃檯買賣中心：櫃檯買賣中心</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臺灣集中保管結算所股份有限公司：集保公司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臺灣集中保管結算所股份有限公司：集保公司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中華民國證券商業同業公會：券商公會</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中華民國證券商業同業公會：券商公會</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財團法人中華民國證券暨期貨市場發展基金會：證基會</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財團法人中華民國證券暨期貨市場發展基金會：證基會</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7.</w:t>
            </w:r>
            <w:r>
              <w:rPr>
                <w:rFonts w:hint="eastAsia" w:ascii="新細明體" w:hAnsi="新細明體" w:eastAsia="新細明體" w:cs="新細明體"/>
              </w:rPr>
              <w:t>臺灣期貨交易所股份有限公司：期交所</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7.</w:t>
            </w:r>
            <w:r>
              <w:rPr>
                <w:rFonts w:hint="eastAsia" w:ascii="新細明體" w:hAnsi="新細明體" w:eastAsia="新細明體" w:cs="新細明體"/>
              </w:rPr>
              <w:t>臺灣期貨交易所股份有限公司：期交所</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8.</w:t>
            </w:r>
            <w:r>
              <w:rPr>
                <w:rFonts w:hint="eastAsia" w:ascii="新細明體" w:hAnsi="新細明體" w:eastAsia="新細明體" w:cs="新細明體"/>
              </w:rPr>
              <w:t>中華民國期貨商業同業公會：期商公會</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8.</w:t>
            </w:r>
            <w:r>
              <w:rPr>
                <w:rFonts w:hint="eastAsia" w:ascii="新細明體" w:hAnsi="新細明體" w:eastAsia="新細明體" w:cs="新細明體"/>
              </w:rPr>
              <w:t>中華民國期貨商業同業公會：期商公會</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各證券交易輔助人訂立內部控制制度時，應於總則部分至少敘明下列事項：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各證券交易輔助人訂立內部控制制度時，應於總則部分至少敘明下列事項：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(一)</w:t>
            </w:r>
            <w:r>
              <w:rPr>
                <w:rFonts w:hint="eastAsia" w:ascii="新細明體" w:hAnsi="新細明體" w:eastAsia="新細明體" w:cs="新細明體"/>
              </w:rPr>
              <w:t>訂定依據(請參閱期貨商經營證券交易輔助業務管理規則第九條之規定)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(一)</w:t>
            </w:r>
            <w:r>
              <w:rPr>
                <w:rFonts w:hint="eastAsia" w:ascii="新細明體" w:hAnsi="新細明體" w:eastAsia="新細明體" w:cs="新細明體"/>
              </w:rPr>
              <w:t>訂定依據(請參閱期貨商經營證券交易輔助業務管理規則第九條之規定)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(二)</w:t>
            </w:r>
            <w:r>
              <w:rPr>
                <w:rFonts w:hint="eastAsia" w:ascii="新細明體" w:hAnsi="新細明體" w:eastAsia="新細明體" w:cs="新細明體"/>
              </w:rPr>
              <w:t>內部控制制度之定義、通過程序及設計暨執行準則</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(二)</w:t>
            </w:r>
            <w:r>
              <w:rPr>
                <w:rFonts w:hint="eastAsia" w:ascii="新細明體" w:hAnsi="新細明體" w:eastAsia="新細明體" w:cs="新細明體"/>
              </w:rPr>
              <w:t>內部控制制度之定義、通過程序及設計暨執行準則</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(三)</w:t>
            </w:r>
            <w:r>
              <w:rPr>
                <w:rFonts w:hint="eastAsia" w:ascii="新細明體" w:hAnsi="新細明體" w:eastAsia="新細明體" w:cs="新細明體"/>
              </w:rPr>
              <w:t>內部控制之組成要素</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(三)</w:t>
            </w:r>
            <w:r>
              <w:rPr>
                <w:rFonts w:hint="eastAsia" w:ascii="新細明體" w:hAnsi="新細明體" w:eastAsia="新細明體" w:cs="新細明體"/>
              </w:rPr>
              <w:t>內部控制之組成要素</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(四)</w:t>
            </w:r>
            <w:r>
              <w:rPr>
                <w:rFonts w:hint="eastAsia" w:ascii="新細明體" w:hAnsi="新細明體" w:eastAsia="新細明體" w:cs="新細明體"/>
              </w:rPr>
              <w:t>公司組織結構與部門職掌</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(四)</w:t>
            </w:r>
            <w:r>
              <w:rPr>
                <w:rFonts w:hint="eastAsia" w:ascii="新細明體" w:hAnsi="新細明體" w:eastAsia="新細明體" w:cs="新細明體"/>
              </w:rPr>
              <w:t>公司組織結構與部門職掌</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(五)</w:t>
            </w:r>
            <w:r>
              <w:rPr>
                <w:rFonts w:hint="eastAsia" w:ascii="新細明體" w:hAnsi="新細明體" w:eastAsia="新細明體" w:cs="新細明體"/>
              </w:rPr>
              <w:t>業務經營原則與方針</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(五)</w:t>
            </w:r>
            <w:r>
              <w:rPr>
                <w:rFonts w:hint="eastAsia" w:ascii="新細明體" w:hAnsi="新細明體" w:eastAsia="新細明體" w:cs="新細明體"/>
              </w:rPr>
              <w:t>業務經營原則與方針</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(六)</w:t>
            </w:r>
            <w:r>
              <w:rPr>
                <w:rFonts w:hint="eastAsia" w:ascii="新細明體" w:hAnsi="新細明體" w:eastAsia="新細明體" w:cs="新細明體"/>
              </w:rPr>
              <w:t>內部控制制度之內容</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(六)</w:t>
            </w:r>
            <w:r>
              <w:rPr>
                <w:rFonts w:hint="eastAsia" w:ascii="新細明體" w:hAnsi="新細明體" w:eastAsia="新細明體" w:cs="新細明體"/>
              </w:rPr>
              <w:t>內部控制制度之內容</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(七)</w:t>
            </w:r>
            <w:r>
              <w:rPr>
                <w:rFonts w:hint="eastAsia" w:ascii="新細明體" w:hAnsi="新細明體" w:eastAsia="新細明體" w:cs="新細明體"/>
              </w:rPr>
              <w:t>內部控制制度之設計</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(七)</w:t>
            </w:r>
            <w:r>
              <w:rPr>
                <w:rFonts w:hint="eastAsia" w:ascii="新細明體" w:hAnsi="新細明體" w:eastAsia="新細明體" w:cs="新細明體"/>
              </w:rPr>
              <w:t>內部控制制度之設計</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(八)</w:t>
            </w:r>
            <w:r>
              <w:rPr>
                <w:rFonts w:hint="eastAsia" w:ascii="新細明體" w:hAnsi="新細明體" w:eastAsia="新細明體" w:cs="新細明體"/>
              </w:rPr>
              <w:t>內部稽核單位之目的、職權及責任</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(八)</w:t>
            </w:r>
            <w:r>
              <w:rPr>
                <w:rFonts w:hint="eastAsia" w:ascii="新細明體" w:hAnsi="新細明體" w:eastAsia="新細明體" w:cs="新細明體"/>
              </w:rPr>
              <w:t>內部稽核單位之目的、職權及責任</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(九)</w:t>
            </w:r>
            <w:r>
              <w:rPr>
                <w:rFonts w:hint="eastAsia" w:ascii="新細明體" w:hAnsi="新細明體" w:eastAsia="新細明體" w:cs="新細明體"/>
              </w:rPr>
              <w:t>內部稽核作業適用範圍</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(九)</w:t>
            </w:r>
            <w:r>
              <w:rPr>
                <w:rFonts w:hint="eastAsia" w:ascii="新細明體" w:hAnsi="新細明體" w:eastAsia="新細明體" w:cs="新細明體"/>
              </w:rPr>
              <w:t>內部稽核作業適用範圍</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(十)</w:t>
            </w:r>
            <w:r>
              <w:rPr>
                <w:rFonts w:hint="eastAsia" w:ascii="新細明體" w:hAnsi="新細明體" w:eastAsia="新細明體" w:cs="新細明體"/>
              </w:rPr>
              <w:t>內部稽核之職能</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(十)</w:t>
            </w:r>
            <w:r>
              <w:rPr>
                <w:rFonts w:hint="eastAsia" w:ascii="新細明體" w:hAnsi="新細明體" w:eastAsia="新細明體" w:cs="新細明體"/>
              </w:rPr>
              <w:t>內部稽核之職能</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(十一)</w:t>
            </w:r>
            <w:r>
              <w:rPr>
                <w:rFonts w:hint="eastAsia" w:ascii="新細明體" w:hAnsi="新細明體" w:eastAsia="新細明體" w:cs="新細明體"/>
              </w:rPr>
              <w:t>稽核人員之職責</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(十一)</w:t>
            </w:r>
            <w:r>
              <w:rPr>
                <w:rFonts w:hint="eastAsia" w:ascii="新細明體" w:hAnsi="新細明體" w:eastAsia="新細明體" w:cs="新細明體"/>
              </w:rPr>
              <w:t>稽核人員之職責</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(十二)</w:t>
            </w:r>
            <w:r>
              <w:rPr>
                <w:rFonts w:hint="eastAsia" w:ascii="新細明體" w:hAnsi="新細明體" w:eastAsia="新細明體" w:cs="新細明體"/>
              </w:rPr>
              <w:t>稽核人員應注意事項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(十二)</w:t>
            </w:r>
            <w:r>
              <w:rPr>
                <w:rFonts w:hint="eastAsia" w:ascii="新細明體" w:hAnsi="新細明體" w:eastAsia="新細明體" w:cs="新細明體"/>
              </w:rPr>
              <w:t>稽核人員應注意事項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內部控制制度之定義、通過程序及設計暨執行準則：</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內部控制制度之定義、通過程序及設計暨執行準則：</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99"/>
            </w:pPr>
            <w:r>
              <w:rPr>
                <w:rFonts w:hint="eastAsia" w:ascii="新細明體" w:hAnsi="新細明體" w:eastAsia="新細明體" w:cs="新細明體"/>
              </w:rPr>
              <w:t>依「證券暨期貨市場各服務事業建立內部控制制度處理準則」第四條之規定，內部控制制度係由事業經理人所設計，董事會通過，並由董事會、經理人及其他員工執行之管理過程，其目的在於促進事業之健全經營，以合理確保下列目標之達成：</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99"/>
            </w:pPr>
            <w:r>
              <w:rPr>
                <w:rFonts w:hint="eastAsia" w:ascii="新細明體" w:hAnsi="新細明體" w:eastAsia="新細明體" w:cs="新細明體"/>
              </w:rPr>
              <w:t>依「證券暨期貨市場各服務事業建立內部控制制度處理準則」第四條之規定，內部控制制度係由事業經理人所設計，董事會通過，並由董事會、經理人及其他員工執行之管理過程，其目的在於促進事業之健全經營，以合理確保下列目標之達成：</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(一)</w:t>
            </w:r>
            <w:r>
              <w:rPr>
                <w:rFonts w:hint="eastAsia" w:ascii="新細明體" w:hAnsi="新細明體" w:eastAsia="新細明體" w:cs="新細明體"/>
              </w:rPr>
              <w:t>營運之效果及效率。</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(一)</w:t>
            </w:r>
            <w:r>
              <w:rPr>
                <w:rFonts w:hint="eastAsia" w:ascii="新細明體" w:hAnsi="新細明體" w:eastAsia="新細明體" w:cs="新細明體"/>
              </w:rPr>
              <w:t>營運之效果及效率。</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(二)</w:t>
            </w:r>
            <w:r>
              <w:rPr>
                <w:rFonts w:hint="eastAsia" w:ascii="新細明體" w:hAnsi="新細明體" w:eastAsia="新細明體" w:cs="新細明體"/>
              </w:rPr>
              <w:t>報導具可靠性、及時性、透明性及符合相關規範。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(二)</w:t>
            </w:r>
            <w:r>
              <w:rPr>
                <w:rFonts w:hint="eastAsia" w:ascii="新細明體" w:hAnsi="新細明體" w:eastAsia="新細明體" w:cs="新細明體"/>
              </w:rPr>
              <w:t>報導具可靠性、及時性、透明性及符合相關規範。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(三)</w:t>
            </w:r>
            <w:r>
              <w:rPr>
                <w:rFonts w:hint="eastAsia" w:ascii="新細明體" w:hAnsi="新細明體" w:eastAsia="新細明體" w:cs="新細明體"/>
              </w:rPr>
              <w:t>相關法令規章之遵循。</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(三)</w:t>
            </w:r>
            <w:r>
              <w:rPr>
                <w:rFonts w:hint="eastAsia" w:ascii="新細明體" w:hAnsi="新細明體" w:eastAsia="新細明體" w:cs="新細明體"/>
              </w:rPr>
              <w:t>相關法令規章之遵循。</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pPr>
            <w:r>
              <w:rPr>
                <w:rFonts w:hint="eastAsia" w:ascii="新細明體" w:hAnsi="新細明體" w:eastAsia="新細明體" w:cs="新細明體"/>
              </w:rPr>
              <w:t>前項營運之效果及效率目標，包括獲利、績效及保障資產安全等目標；報導，包括事業內部與外部財務報導及非財務報導。其中外部財務報導之目標，包括確保對外之財務報表係依照各服務事業財務報告編製規範及一般公認會計原則編製，交易經適當核准等目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pPr>
            <w:r>
              <w:rPr>
                <w:rFonts w:hint="eastAsia" w:ascii="新細明體" w:hAnsi="新細明體" w:eastAsia="新細明體" w:cs="新細明體"/>
              </w:rPr>
              <w:t>前項營運之效果及效率目標，包括獲利、績效及保障資產安全等目標；報導，包括事業內部與外部財務報導及非財務報導。其中外部財務報導之目標，包括確保對外之財務報表係依照各服務事業財務報告編製規範及一般公認會計原則編製，交易經適當核准等目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pPr>
            <w:r>
              <w:rPr>
                <w:rFonts w:hint="eastAsia" w:ascii="新細明體" w:hAnsi="新細明體" w:eastAsia="新細明體" w:cs="新細明體"/>
              </w:rPr>
              <w:t>依「證券暨期貨市場各服務事業建立內部控制制度處理準則」第五條規定，公司應以書面訂定內部控制制度（含內部稽核實施細則），並經董事會通過，如有董事表示異議且有紀錄或書面聲明者，公司應將異議意見連同經董事會通過之內部控制制度送各監察人。已設置獨立董事者，內部控制制度提報董事會討論時，應充分考量各獨立董事之意見，獨立董事如有反對意見或保留意見，應於董事會議事錄載明。</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pPr>
            <w:r>
              <w:rPr>
                <w:rFonts w:hint="eastAsia" w:ascii="新細明體" w:hAnsi="新細明體" w:eastAsia="新細明體" w:cs="新細明體"/>
              </w:rPr>
              <w:t>依「證券暨期貨市場各服務事業建立內部控制制度處理準則」第五條規定，公司應以書面訂定內部控制制度（含內部稽核實施細則），並經董事會通過，如有董事表示異議且有紀錄或書面聲明者，公司應將異議意見連同經董事會通過之內部控制制度送各監察人。已設置獨立董事者，內部控制制度提報董事會討論時，應充分考量各獨立董事之意見，獨立董事如有反對意見或保留意見，應於董事會議事錄載明。</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pPr>
            <w:r>
              <w:rPr>
                <w:rFonts w:hint="eastAsia" w:ascii="新細明體" w:hAnsi="新細明體" w:eastAsia="新細明體" w:cs="新細明體"/>
              </w:rPr>
              <w:t>公司已依證券交易法規定設置審計委員會者，訂定或修正內部控制制度，應經審計委員會全體實際在任成員二分之一以上同意，並提董事會決議。未經審計委員會全體實際在任成員二分之一以上同意者，得由全體實際在任董事三分之二以上同意行之，並應於董事會議事錄載明審計委員會之決議。</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pPr>
            <w:r>
              <w:rPr>
                <w:rFonts w:hint="eastAsia" w:ascii="新細明體" w:hAnsi="新細明體" w:eastAsia="新細明體" w:cs="新細明體"/>
              </w:rPr>
              <w:t>公司已依證券交易法規定設置審計委員會者，訂定或修正內部控制制度，應經審計委員會全體實際在任成員二分之一以上同意，並提董事會決議。未經審計委員會全體實際在任成員二分之一以上同意者，得由全體實際在任董事三分之二以上同意行之，並應於董事會議事錄載明審計委員會之決議。</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pPr>
            <w:r>
              <w:rPr>
                <w:rFonts w:hint="eastAsia" w:ascii="新細明體" w:hAnsi="新細明體" w:eastAsia="新細明體" w:cs="新細明體"/>
              </w:rPr>
              <w:t>公司應考量本事業及子公司（依各服務事業財務報告編製規範之規定認定之）整體之營運活動，設計並確實執行內部控制制度，且應隨時檢討，以因應公司內外在環境的變遷，俾確保內部控制制度之設計及執行持續有效。</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pPr>
            <w:r>
              <w:rPr>
                <w:rFonts w:hint="eastAsia" w:ascii="新細明體" w:hAnsi="新細明體" w:eastAsia="新細明體" w:cs="新細明體"/>
              </w:rPr>
              <w:t>公司應考量本事業及子公司（依各服務事業財務報告編製規範之規定認定之）整體之營運活動，設計並確實執行內部控制制度，且應隨時檢討，以因應公司內外在環境的變遷，俾確保內部控制制度之設計及執行持續有效。</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內部控制之組成要素：</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內部控制之組成要素：</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99"/>
            </w:pPr>
            <w:r>
              <w:rPr>
                <w:rFonts w:hint="eastAsia" w:ascii="新細明體" w:hAnsi="新細明體" w:eastAsia="新細明體" w:cs="新細明體"/>
              </w:rPr>
              <w:t>依「證券暨期貨市場各服務事業建立內部控制制度處理準則」第七條之規定，內部控制制度應包括下列組成要素：</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99"/>
            </w:pPr>
            <w:r>
              <w:rPr>
                <w:rFonts w:hint="eastAsia" w:ascii="新細明體" w:hAnsi="新細明體" w:eastAsia="新細明體" w:cs="新細明體"/>
              </w:rPr>
              <w:t>依「證券暨期貨市場各服務事業建立內部控制制度處理準則」第七條之規定，內部控制制度應包括下列組成要素：</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(一)</w:t>
            </w:r>
            <w:r>
              <w:rPr>
                <w:rFonts w:hint="eastAsia" w:ascii="新細明體" w:hAnsi="新細明體" w:eastAsia="新細明體" w:cs="新細明體"/>
              </w:rPr>
              <w:t>控制環境：係事業設計及執行內部控制制度之基礎。控制環境包括事業之誠信與道德價值、董事會及監察人治理監督責任、組織結構、權責分派、人力資源政策、績效衡量及獎懲等。董事會與經理人應建立內部行為準則，包括訂定董事行為準則、員工行為準則等事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(一)</w:t>
            </w:r>
            <w:r>
              <w:rPr>
                <w:rFonts w:hint="eastAsia" w:ascii="新細明體" w:hAnsi="新細明體" w:eastAsia="新細明體" w:cs="新細明體"/>
              </w:rPr>
              <w:t>控制環境：係事業設計及執行內部控制制度之基礎。控制環境包括事業之誠信與道德價值、董事會及監察人治理監督責任、組織結構、權責分派、人力資源政策、績效衡量及獎懲等。董事會與經理人應建立內部行為準則，包括訂定董事行為準則、員工行為準則等事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(二)</w:t>
            </w:r>
            <w:r>
              <w:rPr>
                <w:rFonts w:hint="eastAsia" w:ascii="新細明體" w:hAnsi="新細明體" w:eastAsia="新細明體" w:cs="新細明體"/>
              </w:rPr>
              <w:t>風險評估：風險評估之先決條件為確立各項目標，並與事業不同層級單位相連結，同時需考慮事業目標之適合性。管理階層應考量事業外部環境與商業模式改變之影響，以及可能發生之舞弊情事。其評估結果，可協助事業及時設計、修正及執行必要之控制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(二)</w:t>
            </w:r>
            <w:r>
              <w:rPr>
                <w:rFonts w:hint="eastAsia" w:ascii="新細明體" w:hAnsi="新細明體" w:eastAsia="新細明體" w:cs="新細明體"/>
              </w:rPr>
              <w:t>風險評估：風險評估之先決條件為確立各項目標，並與事業不同層級單位相連結，同時需考慮事業目標之適合性。管理階層應考量事業外部環境與商業模式改變之影響，以及可能發生之舞弊情事。其評估結果，可協助事業及時設計、修正及執行必要之控制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(三)</w:t>
            </w:r>
            <w:r>
              <w:rPr>
                <w:rFonts w:hint="eastAsia" w:ascii="新細明體" w:hAnsi="新細明體" w:eastAsia="新細明體" w:cs="新細明體"/>
              </w:rPr>
              <w:t>控制作業：係指事業依據風險評估結果，採用適當政策與程序之行動，將風險控制在可承受範圍之內。控制作業之執行應包括事業所有層級、業務流程內之各個階段、所有科技環境等範圍及對子公司之監督與管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(三)</w:t>
            </w:r>
            <w:r>
              <w:rPr>
                <w:rFonts w:hint="eastAsia" w:ascii="新細明體" w:hAnsi="新細明體" w:eastAsia="新細明體" w:cs="新細明體"/>
              </w:rPr>
              <w:t>控制作業：係指事業依據風險評估結果，採用適當政策與程序之行動，將風險控制在可承受範圍之內。控制作業之執行應包括事業所有層級、業務流程內之各個階段、所有科技環境等範圍及對子公司之監督與管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(四)</w:t>
            </w:r>
            <w:r>
              <w:rPr>
                <w:rFonts w:hint="eastAsia" w:ascii="新細明體" w:hAnsi="新細明體" w:eastAsia="新細明體" w:cs="新細明體"/>
              </w:rPr>
              <w:t>資訊與溝通：係指事業蒐集、產生及使用來自內部與外部之攸關、具品質之資訊，以支持內部控制其他組成要素之持續運作，並確保資訊在事業內部，及事業與外部之間皆能進行有效溝通。內部控制制度須具備產生規劃、執行、監督等所需資訊及提供資訊需求者適時取得資訊之機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(四)</w:t>
            </w:r>
            <w:r>
              <w:rPr>
                <w:rFonts w:hint="eastAsia" w:ascii="新細明體" w:hAnsi="新細明體" w:eastAsia="新細明體" w:cs="新細明體"/>
              </w:rPr>
              <w:t>資訊與溝通：係指事業蒐集、產生及使用來自內部與外部之攸關、具品質之資訊，以支持內部控制其他組成要素之持續運作，並確保資訊在事業內部，及事業與外部之間皆能進行有效溝通。內部控制制度須具備產生規劃、執行、監督等所需資訊及提供資訊需求者適時取得資訊之機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(五)</w:t>
            </w:r>
            <w:r>
              <w:rPr>
                <w:rFonts w:hint="eastAsia" w:ascii="新細明體" w:hAnsi="新細明體" w:eastAsia="新細明體" w:cs="新細明體"/>
              </w:rPr>
              <w:t>監督作業：係指事業進行持續性評估、個別評估或兩者併行，以確定內部控制制度之各組成要素是否已經存在及持續運作。持續性評估係指不同層級營運過程中之例行評估；個別評估係由內部稽核人員、監察人或董事會等其他人員進行評估。對於所發現之內部控制制度缺失，應向適當層級之管理階層、董事會及監察人溝通，並及時改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(五)</w:t>
            </w:r>
            <w:r>
              <w:rPr>
                <w:rFonts w:hint="eastAsia" w:ascii="新細明體" w:hAnsi="新細明體" w:eastAsia="新細明體" w:cs="新細明體"/>
              </w:rPr>
              <w:t>監督作業：係指事業進行持續性評估、個別評估或兩者併行，以確定內部控制制度之各組成要素是否已經存在及持續運作。持續性評估係指不同層級營運過程中之例行評估；個別評估係由內部稽核人員、監察人或董事會等其他人員進行評估。對於所發現之內部控制制度缺失，應向適當層級之管理階層、董事會及監察人溝通，並及時改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公司組織結構與部門職掌：</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公司組織結構與部門職掌：</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99"/>
            </w:pPr>
            <w:r>
              <w:rPr>
                <w:rFonts w:hint="eastAsia" w:ascii="新細明體" w:hAnsi="新細明體" w:eastAsia="新細明體" w:cs="新細明體"/>
              </w:rPr>
              <w:t>應訂定明確之內部組織結構、呈報體系，及適當權限與責任，包括公司組織系統圖、部門分工、職權範圍及各項業務之分層負責等應予以敘明(有關各項業務之分層負責劃分，請依附表所列示項目，得由各證券交易輔助人於法令許可範圍內視情況調整訂定)，並載明經理人之設置、職稱、委任與解任、職權範圍及薪資報酬政策與制度等事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99"/>
            </w:pPr>
            <w:r>
              <w:rPr>
                <w:rFonts w:hint="eastAsia" w:ascii="新細明體" w:hAnsi="新細明體" w:eastAsia="新細明體" w:cs="新細明體"/>
              </w:rPr>
              <w:t>應訂定明確之內部組織結構、呈報體系，及適當權限與責任，包括公司組織系統圖、部門分工、職權範圍及各項業務之分層負責等應予以敘明(有關各項業務之分層負責劃分，請依附表所列示項目，得由各證券交易輔助人於法令許可範圍內視情況調整訂定)，並載明經理人之設置、職稱、委任與解任、職權範圍及薪資報酬政策與制度等事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業務經營原則與方針：</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業務經營原則與方針：</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99"/>
            </w:pPr>
            <w:r>
              <w:rPr>
                <w:rFonts w:hint="eastAsia" w:ascii="新細明體" w:hAnsi="新細明體" w:eastAsia="新細明體" w:cs="新細明體"/>
              </w:rPr>
              <w:t>包括經營業務內容及範圍、業務經營原則及發展方針等應予以敘明。</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99"/>
            </w:pPr>
            <w:r>
              <w:rPr>
                <w:rFonts w:hint="eastAsia" w:ascii="新細明體" w:hAnsi="新細明體" w:eastAsia="新細明體" w:cs="新細明體"/>
              </w:rPr>
              <w:t>包括經營業務內容及範圍、業務經營原則及發展方針等應予以敘明。</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八、</w:t>
            </w:r>
            <w:r>
              <w:rPr>
                <w:rFonts w:hint="eastAsia" w:ascii="新細明體" w:hAnsi="新細明體" w:eastAsia="新細明體" w:cs="新細明體"/>
              </w:rPr>
              <w:t>內部控制制度之內容：</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八、</w:t>
            </w:r>
            <w:r>
              <w:rPr>
                <w:rFonts w:hint="eastAsia" w:ascii="新細明體" w:hAnsi="新細明體" w:eastAsia="新細明體" w:cs="新細明體"/>
              </w:rPr>
              <w:t>內部控制制度之內容：</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99"/>
            </w:pPr>
            <w:r>
              <w:rPr>
                <w:rFonts w:hint="eastAsia" w:ascii="新細明體" w:hAnsi="新細明體" w:eastAsia="新細明體" w:cs="新細明體"/>
              </w:rPr>
              <w:t>公司之內部控制制度，除視公司之性質訂定各種營運循環類型之控制作業外，尚應視需要包括對下列作業之控制：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99"/>
            </w:pPr>
            <w:r>
              <w:rPr>
                <w:rFonts w:hint="eastAsia" w:ascii="新細明體" w:hAnsi="新細明體" w:eastAsia="新細明體" w:cs="新細明體"/>
              </w:rPr>
              <w:t>公司之內部控制制度，除視公司之性質訂定各種營運循環類型之控制作業外，尚應視需要包括對下列作業之控制：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(一)</w:t>
            </w:r>
            <w:r>
              <w:rPr>
                <w:rFonts w:hint="eastAsia" w:ascii="新細明體" w:hAnsi="新細明體" w:eastAsia="新細明體" w:cs="新細明體"/>
              </w:rPr>
              <w:t>印鑑使用之管理。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(一)</w:t>
            </w:r>
            <w:r>
              <w:rPr>
                <w:rFonts w:hint="eastAsia" w:ascii="新細明體" w:hAnsi="新細明體" w:eastAsia="新細明體" w:cs="新細明體"/>
              </w:rPr>
              <w:t>印鑑使用之管理。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(二)</w:t>
            </w:r>
            <w:r>
              <w:rPr>
                <w:rFonts w:hint="eastAsia" w:ascii="新細明體" w:hAnsi="新細明體" w:eastAsia="新細明體" w:cs="新細明體"/>
              </w:rPr>
              <w:t>票據領用之管理。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(二)</w:t>
            </w:r>
            <w:r>
              <w:rPr>
                <w:rFonts w:hint="eastAsia" w:ascii="新細明體" w:hAnsi="新細明體" w:eastAsia="新細明體" w:cs="新細明體"/>
              </w:rPr>
              <w:t>票據領用之管理。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(三)</w:t>
            </w:r>
            <w:r>
              <w:rPr>
                <w:rFonts w:hint="eastAsia" w:ascii="新細明體" w:hAnsi="新細明體" w:eastAsia="新細明體" w:cs="新細明體"/>
              </w:rPr>
              <w:t>預算之管理。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(三)</w:t>
            </w:r>
            <w:r>
              <w:rPr>
                <w:rFonts w:hint="eastAsia" w:ascii="新細明體" w:hAnsi="新細明體" w:eastAsia="新細明體" w:cs="新細明體"/>
              </w:rPr>
              <w:t>預算之管理。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(四)</w:t>
            </w:r>
            <w:r>
              <w:rPr>
                <w:rFonts w:hint="eastAsia" w:ascii="新細明體" w:hAnsi="新細明體" w:eastAsia="新細明體" w:cs="新細明體"/>
              </w:rPr>
              <w:t>財產之管理。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(四)</w:t>
            </w:r>
            <w:r>
              <w:rPr>
                <w:rFonts w:hint="eastAsia" w:ascii="新細明體" w:hAnsi="新細明體" w:eastAsia="新細明體" w:cs="新細明體"/>
              </w:rPr>
              <w:t>財產之管理。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(五)</w:t>
            </w:r>
            <w:r>
              <w:rPr>
                <w:rFonts w:hint="eastAsia" w:ascii="新細明體" w:hAnsi="新細明體" w:eastAsia="新細明體" w:cs="新細明體"/>
              </w:rPr>
              <w:t>背書保證之管理。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(五)</w:t>
            </w:r>
            <w:r>
              <w:rPr>
                <w:rFonts w:hint="eastAsia" w:ascii="新細明體" w:hAnsi="新細明體" w:eastAsia="新細明體" w:cs="新細明體"/>
              </w:rPr>
              <w:t>背書保證之管理。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(六)</w:t>
            </w:r>
            <w:r>
              <w:rPr>
                <w:rFonts w:hint="eastAsia" w:ascii="新細明體" w:hAnsi="新細明體" w:eastAsia="新細明體" w:cs="新細明體"/>
              </w:rPr>
              <w:t>負債承諾及或有事項之管理。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(六)</w:t>
            </w:r>
            <w:r>
              <w:rPr>
                <w:rFonts w:hint="eastAsia" w:ascii="新細明體" w:hAnsi="新細明體" w:eastAsia="新細明體" w:cs="新細明體"/>
              </w:rPr>
              <w:t>負債承諾及或有事項之管理。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(七)</w:t>
            </w:r>
            <w:r>
              <w:rPr>
                <w:rFonts w:hint="eastAsia" w:ascii="新細明體" w:hAnsi="新細明體" w:eastAsia="新細明體" w:cs="新細明體"/>
              </w:rPr>
              <w:t>職務授權及代理人制度之執行。</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(七)</w:t>
            </w:r>
            <w:r>
              <w:rPr>
                <w:rFonts w:hint="eastAsia" w:ascii="新細明體" w:hAnsi="新細明體" w:eastAsia="新細明體" w:cs="新細明體"/>
              </w:rPr>
              <w:t>職務授權及代理人制度之執行。</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(八)</w:t>
            </w:r>
            <w:r>
              <w:rPr>
                <w:rFonts w:hint="eastAsia" w:ascii="新細明體" w:hAnsi="新細明體" w:eastAsia="新細明體" w:cs="新細明體"/>
              </w:rPr>
              <w:t>財務及非財務資訊之管理。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(八)</w:t>
            </w:r>
            <w:r>
              <w:rPr>
                <w:rFonts w:hint="eastAsia" w:ascii="新細明體" w:hAnsi="新細明體" w:eastAsia="新細明體" w:cs="新細明體"/>
              </w:rPr>
              <w:t>財務及非財務資訊之管理。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(九)</w:t>
            </w:r>
            <w:r>
              <w:rPr>
                <w:rFonts w:hint="eastAsia" w:ascii="新細明體" w:hAnsi="新細明體" w:eastAsia="新細明體" w:cs="新細明體"/>
              </w:rPr>
              <w:t>關係人交易之管理。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(九)</w:t>
            </w:r>
            <w:r>
              <w:rPr>
                <w:rFonts w:hint="eastAsia" w:ascii="新細明體" w:hAnsi="新細明體" w:eastAsia="新細明體" w:cs="新細明體"/>
              </w:rPr>
              <w:t>關係人交易之管理。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(十)</w:t>
            </w:r>
            <w:r>
              <w:rPr>
                <w:rFonts w:hint="eastAsia" w:ascii="新細明體" w:hAnsi="新細明體" w:eastAsia="新細明體" w:cs="新細明體"/>
              </w:rPr>
              <w:t>財務報表編製流程之管理，包括適用國際財務報導準則之管理、會計專業判斷程序、會計政策與估計值變動之流程等。</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(十)</w:t>
            </w:r>
            <w:r>
              <w:rPr>
                <w:rFonts w:hint="eastAsia" w:ascii="新細明體" w:hAnsi="新細明體" w:eastAsia="新細明體" w:cs="新細明體"/>
              </w:rPr>
              <w:t>財務報表編製流程之管理，包括適用國際財務報導準則之管理、會計專業判斷程序、會計政策與估計值變動之流程等。</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(十一)</w:t>
            </w:r>
            <w:r>
              <w:rPr>
                <w:rFonts w:hint="eastAsia" w:ascii="新細明體" w:hAnsi="新細明體" w:eastAsia="新細明體" w:cs="新細明體"/>
              </w:rPr>
              <w:t>對子公司之監督與管理。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(十一)</w:t>
            </w:r>
            <w:r>
              <w:rPr>
                <w:rFonts w:hint="eastAsia" w:ascii="新細明體" w:hAnsi="新細明體" w:eastAsia="新細明體" w:cs="新細明體"/>
              </w:rPr>
              <w:t>對子公司之監督與管理。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(十二)</w:t>
            </w:r>
            <w:r>
              <w:rPr>
                <w:rFonts w:hint="eastAsia" w:ascii="新細明體" w:hAnsi="新細明體" w:eastAsia="新細明體" w:cs="新細明體"/>
              </w:rPr>
              <w:t>法令遵循制度。</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(十二)</w:t>
            </w:r>
            <w:r>
              <w:rPr>
                <w:rFonts w:hint="eastAsia" w:ascii="新細明體" w:hAnsi="新細明體" w:eastAsia="新細明體" w:cs="新細明體"/>
              </w:rPr>
              <w:t>法令遵循制度。</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(十三)</w:t>
            </w:r>
            <w:r>
              <w:rPr>
                <w:rFonts w:hint="eastAsia" w:ascii="新細明體" w:hAnsi="新細明體" w:eastAsia="新細明體" w:cs="新細明體"/>
              </w:rPr>
              <w:t>金融檢查報告之管理。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(十三)</w:t>
            </w:r>
            <w:r>
              <w:rPr>
                <w:rFonts w:hint="eastAsia" w:ascii="新細明體" w:hAnsi="新細明體" w:eastAsia="新細明體" w:cs="新細明體"/>
              </w:rPr>
              <w:t>金融檢查報告之管理。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(十四)</w:t>
            </w:r>
            <w:r>
              <w:rPr>
                <w:rFonts w:hint="eastAsia" w:ascii="新細明體" w:hAnsi="新細明體" w:eastAsia="新細明體" w:cs="新細明體"/>
              </w:rPr>
              <w:t>金融消費者保護之管理。但依金融消費者保護法第三條第二項排除適用之事業，不在此限。</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(十四)</w:t>
            </w:r>
            <w:r>
              <w:rPr>
                <w:rFonts w:hint="eastAsia" w:ascii="新細明體" w:hAnsi="新細明體" w:eastAsia="新細明體" w:cs="新細明體"/>
              </w:rPr>
              <w:t>金融消費者保護之管理。但依金融消費者保護法第三條第二項排除適用之事業，不在此限。</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(十五)</w:t>
            </w:r>
            <w:r>
              <w:rPr>
                <w:rFonts w:hint="eastAsia" w:ascii="新細明體" w:hAnsi="新細明體" w:eastAsia="新細明體" w:cs="新細明體"/>
              </w:rPr>
              <w:t>董事會議事運作之管理及股務作業之管理（股票公開發行之證券交易輔助人適用）。</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(十五)</w:t>
            </w:r>
            <w:r>
              <w:rPr>
                <w:rFonts w:hint="eastAsia" w:ascii="新細明體" w:hAnsi="新細明體" w:eastAsia="新細明體" w:cs="新細明體"/>
              </w:rPr>
              <w:t>董事會議事運作之管理及股務作業之管理（股票公開發行之證券交易輔助人適用）。</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(十六)</w:t>
            </w:r>
            <w:r>
              <w:rPr>
                <w:rFonts w:hint="eastAsia" w:ascii="新細明體" w:hAnsi="新細明體" w:eastAsia="新細明體" w:cs="新細明體"/>
              </w:rPr>
              <w:t>薪資報酬委員會運作之管理（股票已上市或在證券商營業處所買賣之證券交易輔助人適用）</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(十六)</w:t>
            </w:r>
            <w:r>
              <w:rPr>
                <w:rFonts w:hint="eastAsia" w:ascii="新細明體" w:hAnsi="新細明體" w:eastAsia="新細明體" w:cs="新細明體"/>
              </w:rPr>
              <w:t>薪資報酬委員會運作之管理（股票已上市或在證券商營業處所買賣之證券交易輔助人適用）</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(十七)</w:t>
            </w:r>
            <w:r>
              <w:rPr>
                <w:rFonts w:hint="eastAsia" w:ascii="新細明體" w:hAnsi="新細明體" w:eastAsia="新細明體" w:cs="新細明體"/>
              </w:rPr>
              <w:t>防範內線交易之管理（股票已上市或在證券商營業處所買賣之證券交易輔助人適用）。</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(十七)</w:t>
            </w:r>
            <w:r>
              <w:rPr>
                <w:rFonts w:hint="eastAsia" w:ascii="新細明體" w:hAnsi="新細明體" w:eastAsia="新細明體" w:cs="新細明體"/>
              </w:rPr>
              <w:t>防範內線交易之管理（股票已上市或在證券商營業處所買賣之證券交易輔助人適用）。</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(十八)</w:t>
            </w:r>
            <w:r>
              <w:rPr>
                <w:rFonts w:hint="eastAsia" w:ascii="新細明體" w:hAnsi="新細明體" w:eastAsia="新細明體" w:cs="新細明體"/>
              </w:rPr>
              <w:t>客戶資料保密。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(十八)</w:t>
            </w:r>
            <w:r>
              <w:rPr>
                <w:rFonts w:hint="eastAsia" w:ascii="新細明體" w:hAnsi="新細明體" w:eastAsia="新細明體" w:cs="新細明體"/>
              </w:rPr>
              <w:t>客戶資料保密。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(十九)</w:t>
            </w:r>
            <w:r>
              <w:rPr>
                <w:rFonts w:hint="eastAsia" w:ascii="新細明體" w:hAnsi="新細明體" w:eastAsia="新細明體" w:cs="新細明體"/>
              </w:rPr>
              <w:t>公司已依證券交易法規定設置審計委員會者，其內部控制制度，應包括審計委員會議事運作之管理。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(十九)</w:t>
            </w:r>
            <w:r>
              <w:rPr>
                <w:rFonts w:hint="eastAsia" w:ascii="新細明體" w:hAnsi="新細明體" w:eastAsia="新細明體" w:cs="新細明體"/>
              </w:rPr>
              <w:t>公司已依證券交易法規定設置審計委員會者，其內部控制制度，應包括審計委員會議事運作之管理。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(二十)</w:t>
            </w:r>
            <w:r>
              <w:rPr>
                <w:rFonts w:hint="eastAsia" w:ascii="新細明體" w:hAnsi="新細明體" w:eastAsia="新細明體" w:cs="新細明體"/>
              </w:rPr>
              <w:t>重大事件（如：重大違規、遭受重大損失之虞等）處理及通報機制之管理。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(二十)</w:t>
            </w:r>
            <w:r>
              <w:rPr>
                <w:rFonts w:hint="eastAsia" w:ascii="新細明體" w:hAnsi="新細明體" w:eastAsia="新細明體" w:cs="新細明體"/>
              </w:rPr>
              <w:t>重大事件（如：重大違規、遭受重大損失之虞等）處理及通報機制之管理。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(二十一)</w:t>
            </w:r>
            <w:r>
              <w:rPr>
                <w:rFonts w:hint="eastAsia" w:ascii="新細明體" w:hAnsi="新細明體" w:eastAsia="新細明體" w:cs="新細明體"/>
              </w:rPr>
              <w:t>防制洗錢及打擊資恐機制及相關法令之遵循管理，包括辨識、衡量、監控洗錢及資恐風險之管理機制。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(二十一)</w:t>
            </w:r>
            <w:r>
              <w:rPr>
                <w:rFonts w:hint="eastAsia" w:ascii="新細明體" w:hAnsi="新細明體" w:eastAsia="新細明體" w:cs="新細明體"/>
              </w:rPr>
              <w:t>防制洗錢及打擊資恐機制及相關法令之遵循管理，包括辨識、衡量、監控洗錢及資恐風險之管理機制。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(二十二)</w:t>
            </w:r>
            <w:r>
              <w:rPr>
                <w:rFonts w:hint="eastAsia" w:ascii="新細明體" w:hAnsi="新細明體" w:eastAsia="新細明體" w:cs="新細明體"/>
              </w:rPr>
              <w:t>設有國內外分公司（或子公司）者，應建立集團整體性防制洗錢及打擊資恐計畫，包括在符合國外分公司（或子公司）當地法令下，以防制洗錢及打擊資恐為目的之集團內資訊分享政策及程序。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(二十二)</w:t>
            </w:r>
            <w:r>
              <w:rPr>
                <w:rFonts w:hint="eastAsia" w:ascii="新細明體" w:hAnsi="新細明體" w:eastAsia="新細明體" w:cs="新細明體"/>
              </w:rPr>
              <w:t>設有國內外分公司（或子公司）者，應建立集團整體性防制洗錢及打擊資恐計畫，包括在符合國外分公司（或子公司）當地法令下，以防制洗錢及打擊資恐為目的之集團內資訊分享政策及程序。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(二十三)</w:t>
            </w:r>
            <w:r>
              <w:rPr>
                <w:rFonts w:hint="eastAsia" w:ascii="新細明體" w:hAnsi="新細明體" w:eastAsia="新細明體" w:cs="新細明體"/>
              </w:rPr>
              <w:t>檢舉制度。</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(二十三)</w:t>
            </w:r>
            <w:r>
              <w:rPr>
                <w:rFonts w:hint="eastAsia" w:ascii="新細明體" w:hAnsi="新細明體" w:eastAsia="新細明體" w:cs="新細明體"/>
              </w:rPr>
              <w:t>檢舉制度。</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(二十四)</w:t>
            </w:r>
            <w:r>
              <w:rPr>
                <w:rFonts w:hint="eastAsia" w:ascii="新細明體" w:hAnsi="新細明體" w:eastAsia="新細明體" w:cs="新細明體"/>
              </w:rPr>
              <w:t>作業委託他人處理之管理。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(二十四)</w:t>
            </w:r>
            <w:r>
              <w:rPr>
                <w:rFonts w:hint="eastAsia" w:ascii="新細明體" w:hAnsi="新細明體" w:eastAsia="新細明體" w:cs="新細明體"/>
              </w:rPr>
              <w:t>作業委託他人處理之管理。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(二十五)</w:t>
            </w:r>
            <w:r>
              <w:rPr>
                <w:rFonts w:hint="eastAsia" w:ascii="新細明體" w:hAnsi="新細明體" w:eastAsia="新細明體" w:cs="新細明體"/>
              </w:rPr>
              <w:t>永續資訊之管理（股票已上市或在證券商營業處所上櫃買賣之證券交易輔助人適用）。</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(二十五)</w:t>
            </w:r>
            <w:r>
              <w:rPr>
                <w:rFonts w:hint="eastAsia" w:ascii="新細明體" w:hAnsi="新細明體" w:eastAsia="新細明體" w:cs="新細明體"/>
              </w:rPr>
              <w:t>永續資訊之管理（股票已上市或在證券商營業處所上櫃買賣之證券交易輔助人適用）。</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(二十六)</w:t>
            </w:r>
            <w:r>
              <w:rPr>
                <w:rFonts w:hint="eastAsia" w:ascii="新細明體" w:hAnsi="新細明體" w:eastAsia="新細明體" w:cs="新細明體"/>
              </w:rPr>
              <w:t>其他經主管機關指定之事項。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(二十六)</w:t>
            </w:r>
            <w:r>
              <w:rPr>
                <w:rFonts w:hint="eastAsia" w:ascii="新細明體" w:hAnsi="新細明體" w:eastAsia="新細明體" w:cs="新細明體"/>
              </w:rPr>
              <w:t>其他經主管機關指定之事項。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pPr>
            <w:r>
              <w:rPr>
                <w:rFonts w:hint="eastAsia" w:ascii="新細明體" w:hAnsi="新細明體" w:eastAsia="新細明體" w:cs="新細明體"/>
              </w:rPr>
              <w:t>故為便於內部控制制度之建立，宜將公司內部之主要活動作系統性之劃分，以相互關連之各項作業形成交易循環，建立彼此之關係。證券交易輔助人之一般活動可劃分為下列八大單元：</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pPr>
            <w:r>
              <w:rPr>
                <w:rFonts w:hint="eastAsia" w:ascii="新細明體" w:hAnsi="新細明體" w:eastAsia="新細明體" w:cs="新細明體"/>
              </w:rPr>
              <w:t>故為便於內部控制制度之建立，宜將公司內部之主要活動作系統性之劃分，以相互關連之各項作業形成交易循環，建立彼此之關係。證券交易輔助人之一般活動可劃分為下列八大單元：</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業務及收入循環</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業務及收入循環</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採購及付款循環</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採購及付款循環</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薪工循環</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薪工循環</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融資循環</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融資循環</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不動產及設備循環</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不動產及設備循環</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投資循環</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投資循環</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7.</w:t>
            </w:r>
            <w:r>
              <w:rPr>
                <w:rFonts w:hint="eastAsia" w:ascii="新細明體" w:hAnsi="新細明體" w:eastAsia="新細明體" w:cs="新細明體"/>
              </w:rPr>
              <w:t>電腦作業與資訊提供</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7.</w:t>
            </w:r>
            <w:r>
              <w:rPr>
                <w:rFonts w:hint="eastAsia" w:ascii="新細明體" w:hAnsi="新細明體" w:eastAsia="新細明體" w:cs="新細明體"/>
              </w:rPr>
              <w:t>電腦作業與資訊提供</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8.</w:t>
            </w:r>
            <w:r>
              <w:rPr>
                <w:rFonts w:hint="eastAsia" w:ascii="新細明體" w:hAnsi="新細明體" w:eastAsia="新細明體" w:cs="新細明體"/>
              </w:rPr>
              <w:t>管理控制制度</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8.</w:t>
            </w:r>
            <w:r>
              <w:rPr>
                <w:rFonts w:hint="eastAsia" w:ascii="新細明體" w:hAnsi="新細明體" w:eastAsia="新細明體" w:cs="新細明體"/>
              </w:rPr>
              <w:t>管理控制制度</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九、</w:t>
            </w:r>
            <w:r>
              <w:rPr>
                <w:rFonts w:hint="eastAsia" w:ascii="新細明體" w:hAnsi="新細明體" w:eastAsia="新細明體" w:cs="新細明體"/>
              </w:rPr>
              <w:t>內部控制制度之設計及內部稽核實施細則之項目：</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九、</w:t>
            </w:r>
            <w:r>
              <w:rPr>
                <w:rFonts w:hint="eastAsia" w:ascii="新細明體" w:hAnsi="新細明體" w:eastAsia="新細明體" w:cs="新細明體"/>
              </w:rPr>
              <w:t>內部控制制度之設計及內部稽核實施細則之項目：</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99"/>
            </w:pPr>
            <w:r>
              <w:rPr>
                <w:rFonts w:hint="eastAsia" w:ascii="新細明體" w:hAnsi="新細明體" w:eastAsia="新細明體" w:cs="新細明體"/>
              </w:rPr>
              <w:t>內部控制制度之建立與設計，應針對各公司之特定情況而設計。公司之管理階層、部門主管、企劃幕僚、稽核人員，以及各業務單位相關人員，應共同參與內部控制制度之設計作業：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99"/>
            </w:pPr>
            <w:r>
              <w:rPr>
                <w:rFonts w:hint="eastAsia" w:ascii="新細明體" w:hAnsi="新細明體" w:eastAsia="新細明體" w:cs="新細明體"/>
              </w:rPr>
              <w:t>內部控制制度之建立與設計，應針對各公司之特定情況而設計。公司之管理階層、部門主管、企劃幕僚、稽核人員，以及各業務單位相關人員，應共同參與內部控制制度之設計作業：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(一)</w:t>
            </w:r>
            <w:r>
              <w:rPr>
                <w:rFonts w:hint="eastAsia" w:ascii="新細明體" w:hAnsi="新細明體" w:eastAsia="新細明體" w:cs="新細明體"/>
              </w:rPr>
              <w:t>設計之內容包括：</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(一)</w:t>
            </w:r>
            <w:r>
              <w:rPr>
                <w:rFonts w:hint="eastAsia" w:ascii="新細明體" w:hAnsi="新細明體" w:eastAsia="新細明體" w:cs="新細明體"/>
              </w:rPr>
              <w:t>設計之內容包括：</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製訂各交易循環之作業程序。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製訂各交易循環之作業程序。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設計各作業程序之控制重點。</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設計各作業程序之控制重點。</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設計使用之表單。</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設計使用之表單。</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(二)</w:t>
            </w:r>
            <w:r>
              <w:rPr>
                <w:rFonts w:hint="eastAsia" w:ascii="新細明體" w:hAnsi="新細明體" w:eastAsia="新細明體" w:cs="新細明體"/>
              </w:rPr>
              <w:t>設計之原則包括：</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(二)</w:t>
            </w:r>
            <w:r>
              <w:rPr>
                <w:rFonts w:hint="eastAsia" w:ascii="新細明體" w:hAnsi="新細明體" w:eastAsia="新細明體" w:cs="新細明體"/>
              </w:rPr>
              <w:t>設計之原則包括：</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依各項業務實際需要規劃作業流程，採分段作業。在每一流程或循環中，設定若干控制重點，以合理確保各項作業目標之達成。</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依各項業務實際需要規劃作業流程，採分段作業。在每一流程或循環中，設定若干控制重點，以合理確保各項作業目標之達成。</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各項業務應視其性質分由不同單位或職掌處理，不由任一單位或個人全程包辦，且其職掌不應有利益衝突情形，並應符合牽制原則；如辦理資金出納者，不應兼辦帳務，以達相互牽制及避免利益衝突之效果。</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各項業務應視其性質分由不同單位或職掌處理，不由任一單位或個人全程包辦，且其職掌不應有利益衝突情形，並應符合牽制原則；如辦理資金出納者，不應兼辦帳務，以達相互牽制及避免利益衝突之效果。</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依各項作業之控制重點訂定內部稽核作業，其作業內容應力求表格化，俾利稽核、追蹤及考評。</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依各項作業之控制重點訂定內部稽核作業，其作業內容應力求表格化，俾利稽核、追蹤及考評。</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(三)</w:t>
            </w:r>
            <w:r>
              <w:rPr>
                <w:rFonts w:hint="eastAsia" w:ascii="新細明體" w:hAnsi="新細明體" w:eastAsia="新細明體" w:cs="新細明體"/>
              </w:rPr>
              <w:t>內部稽核實施細則至少應包括下列項目：</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(三)</w:t>
            </w:r>
            <w:r>
              <w:rPr>
                <w:rFonts w:hint="eastAsia" w:ascii="新細明體" w:hAnsi="新細明體" w:eastAsia="新細明體" w:cs="新細明體"/>
              </w:rPr>
              <w:t>內部稽核實施細則至少應包括下列項目：</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對內部控制制度進行檢查，以衡量現行政策、程序之有效性及遵循程度與其對各項營運活動之影響。</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對內部控制制度進行檢查，以衡量現行政策、程序之有效性及遵循程度與其對各項營運活動之影響。</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釐定稽核項目、時間、程序及方法。</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釐定稽核項目、時間、程序及方法。</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十、</w:t>
            </w:r>
            <w:r>
              <w:rPr>
                <w:rFonts w:hint="eastAsia" w:ascii="新細明體" w:hAnsi="新細明體" w:eastAsia="新細明體" w:cs="新細明體"/>
              </w:rPr>
              <w:t>內部稽核目的及組織編制：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十、</w:t>
            </w:r>
            <w:r>
              <w:rPr>
                <w:rFonts w:hint="eastAsia" w:ascii="新細明體" w:hAnsi="新細明體" w:eastAsia="新細明體" w:cs="新細明體"/>
              </w:rPr>
              <w:t>內部稽核目的及組織編制：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99"/>
            </w:pPr>
            <w:r>
              <w:rPr>
                <w:rFonts w:hint="eastAsia" w:ascii="新細明體" w:hAnsi="新細明體" w:eastAsia="新細明體" w:cs="新細明體"/>
              </w:rPr>
              <w:t>內部稽核之目的，在於協助董事會及經理人檢查及覆核內部控制制度之缺失及衡量營運之效果及效率，並適時提供改進建議，以確保內部控制制度得以持續有效實施及作為檢討修正內部控制制度之依據。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99"/>
            </w:pPr>
            <w:r>
              <w:rPr>
                <w:rFonts w:hint="eastAsia" w:ascii="新細明體" w:hAnsi="新細明體" w:eastAsia="新細明體" w:cs="新細明體"/>
              </w:rPr>
              <w:t>內部稽核之目的，在於協助董事會及經理人檢查及覆核內部控制制度之缺失及衡量營運之效果及效率，並適時提供改進建議，以確保內部控制制度得以持續有效實施及作為檢討修正內部控制制度之依據。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99"/>
            </w:pPr>
            <w:r>
              <w:rPr>
                <w:rFonts w:hint="eastAsia" w:ascii="新細明體" w:hAnsi="新細明體" w:eastAsia="新細明體" w:cs="新細明體"/>
              </w:rPr>
              <w:t>公司應設置隸屬於董事會之內部稽核單位，並依規模、業務狀況及管理需要，</w:t>
            </w:r>
            <w:r>
              <w:rPr>
                <w:rFonts w:hint="eastAsia" w:ascii="新細明體" w:hAnsi="新細明體" w:eastAsia="新細明體" w:cs="新細明體"/>
                <w:b/>
                <w:u w:val="single"/>
                <w:color w:val="FF0000 "/>
              </w:rPr>
              <w:t>暨主管機關114年9月2日金管證券字第1140346348號令，</w:t>
            </w:r>
            <w:r>
              <w:rPr>
                <w:rFonts w:hint="eastAsia" w:ascii="新細明體" w:hAnsi="新細明體" w:eastAsia="新細明體" w:cs="新細明體"/>
              </w:rPr>
              <w:t>配置適任及適當人數之專任內部稽核人員，並應設置職務代理人，其代理執行稽核業務應依「證券暨期貨市場各服務事業建立內部控制制度處理準則」規定辦理。公司應設有內部稽核主管，綜理稽核業務，其應具備領導及有效督導稽核工作之能力。內部稽核主管之任免應經董事會通過，已設置獨立董事者，獨立董事如有反對意見或保留意見者，應於董事會議事錄載明。已依證券交易法規定設置審計委員會者，內部稽核主管之任免應經審計委員會全體實際在任成員二分之一以上同意，並提董事會決議；未獲審計委員會全體實際在任成員二分之一以上同意者，得由全體實際在任董事三分之二以上同意行之，並於董事會議事錄載明審計委員會之決議。</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99"/>
            </w:pPr>
            <w:r>
              <w:rPr>
                <w:rFonts w:hint="eastAsia" w:ascii="新細明體" w:hAnsi="新細明體" w:eastAsia="新細明體" w:cs="新細明體"/>
              </w:rPr>
              <w:t>公司應設置隸屬於董事會之內部稽核單位，並依規模、業務狀況及管理需要，配置適任及適當人數之專任內部稽核人員，並應設置職務代理人，其代理執行稽核業務應依「證券暨期貨市場各服務事業建立內部控制制度處理準則」規定辦理。公司應設有內部稽核主管，綜理稽核業務，其應具備領導及有效督導稽核工作之能力。內部稽核主管之任免應經董事會通過，已設置獨立董事者，獨立董事如有反對意見或保留意見者，應於董事會議事錄載明。已依證券交易法規定設置審計委員會者，內部稽核主管之任免應經審計委員會全體實際在任成員二分之一以上同意，並提董事會決議；未獲審計委員會全體實際在任成員二分之一以上同意者，得由全體實際在任董事三分之二以上同意行之，並於董事會議事錄載明審計委員會之決議。</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99"/>
            </w:pPr>
            <w:r>
              <w:rPr>
                <w:rFonts w:hint="eastAsia" w:ascii="新細明體" w:hAnsi="新細明體" w:eastAsia="新細明體" w:cs="新細明體"/>
              </w:rPr>
              <w:t>內部稽核單位之人事任用、免職、升遷、獎懲、輪調及考核等，應由稽核主管簽報，報經董事長核定後辦理。但涉及其他管理、營業單位人事者，應事先洽商人事單位轉報總經理同意後，再行簽報董事長核定。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99"/>
            </w:pPr>
            <w:r>
              <w:rPr>
                <w:rFonts w:hint="eastAsia" w:ascii="新細明體" w:hAnsi="新細明體" w:eastAsia="新細明體" w:cs="新細明體"/>
              </w:rPr>
              <w:t>內部稽核單位之人事任用、免職、升遷、獎懲、輪調及考核等，應由稽核主管簽報，報經董事長核定後辦理。但涉及其他管理、營業單位人事者，應事先洽商人事單位轉報總經理同意後，再行簽報董事長核定。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99"/>
            </w:pPr>
            <w:r>
              <w:rPr>
                <w:rFonts w:hint="eastAsia" w:ascii="新細明體" w:hAnsi="新細明體" w:eastAsia="新細明體" w:cs="新細明體"/>
              </w:rPr>
              <w:t>公司派駐分支機構之專任稽核人員不得由分公司考核。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99"/>
            </w:pPr>
            <w:r>
              <w:rPr>
                <w:rFonts w:hint="eastAsia" w:ascii="新細明體" w:hAnsi="新細明體" w:eastAsia="新細明體" w:cs="新細明體"/>
              </w:rPr>
              <w:t>公司派駐分支機構之專任稽核人員不得由分公司考核。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十一、</w:t>
            </w:r>
            <w:r>
              <w:rPr>
                <w:rFonts w:hint="eastAsia" w:ascii="新細明體" w:hAnsi="新細明體" w:eastAsia="新細明體" w:cs="新細明體"/>
              </w:rPr>
              <w:t>內部稽核作業適用範圍：</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十一、</w:t>
            </w:r>
            <w:r>
              <w:rPr>
                <w:rFonts w:hint="eastAsia" w:ascii="新細明體" w:hAnsi="新細明體" w:eastAsia="新細明體" w:cs="新細明體"/>
              </w:rPr>
              <w:t>內部稽核作業適用範圍：</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(一)</w:t>
            </w:r>
            <w:r>
              <w:rPr>
                <w:rFonts w:hint="eastAsia" w:ascii="新細明體" w:hAnsi="新細明體" w:eastAsia="新細明體" w:cs="新細明體"/>
              </w:rPr>
              <w:t>公司稽核人員辦理稽核事宜，依公司內部控制制度規定辦理。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(一)</w:t>
            </w:r>
            <w:r>
              <w:rPr>
                <w:rFonts w:hint="eastAsia" w:ascii="新細明體" w:hAnsi="新細明體" w:eastAsia="新細明體" w:cs="新細明體"/>
              </w:rPr>
              <w:t>公司稽核人員辦理稽核事宜，依公司內部控制制度規定辦理。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(二)</w:t>
            </w:r>
            <w:r>
              <w:rPr>
                <w:rFonts w:hint="eastAsia" w:ascii="新細明體" w:hAnsi="新細明體" w:eastAsia="新細明體" w:cs="新細明體"/>
              </w:rPr>
              <w:t>內部稽核工作執行範圍包括公司各單位及所屬分支機構。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(二)</w:t>
            </w:r>
            <w:r>
              <w:rPr>
                <w:rFonts w:hint="eastAsia" w:ascii="新細明體" w:hAnsi="新細明體" w:eastAsia="新細明體" w:cs="新細明體"/>
              </w:rPr>
              <w:t>內部稽核工作執行範圍包括公司各單位及所屬分支機構。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(三)</w:t>
            </w:r>
            <w:r>
              <w:rPr>
                <w:rFonts w:hint="eastAsia" w:ascii="新細明體" w:hAnsi="新細明體" w:eastAsia="新細明體" w:cs="新細明體"/>
              </w:rPr>
              <w:t>公司稽核人員辦理內部稽核工作，分定期及不定期二類，定期性稽核，由稽核人員依公司年度稽核計畫執行；不定期性稽核，由稽核人員依指示或業務需要辦理。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(三)</w:t>
            </w:r>
            <w:r>
              <w:rPr>
                <w:rFonts w:hint="eastAsia" w:ascii="新細明體" w:hAnsi="新細明體" w:eastAsia="新細明體" w:cs="新細明體"/>
              </w:rPr>
              <w:t>公司稽核人員辦理內部稽核工作，分定期及不定期二類，定期性稽核，由稽核人員依公司年度稽核計畫執行；不定期性稽核，由稽核人員依指示或業務需要辦理。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pPr>
            <w:r>
              <w:rPr>
                <w:rFonts w:hint="eastAsia" w:ascii="新細明體" w:hAnsi="新細明體" w:eastAsia="新細明體" w:cs="新細明體"/>
              </w:rPr>
              <w:t>內部稽核單位應依風險評估結果擬訂年度稽核計畫，據以評估公司之內部控制制度，並至少應將法令規章遵循事項、取得或處分資產、從事衍生性商品交易、為他人背書保證之管理及關係人交易之管理等重大財務業務行為之控制作業、對子公司之監督與管理、財務報表編製流程之管理（包括適用國際財務報導準則之管理、會計專業判斷程序、會計政策與估計值變動之流程等）、資通安全檢查、對金融消費者保護之管理等列為每年年度稽核計畫之稽核項目（股票公開發行之證券交易輔助人，尚應包括董事會議事運作之管理）。股票已上市或在證券商營業處所買賣之證券交易輔助人之每年年度稽核計畫，除應包括上開之稽核項目外，尚應包括薪資報酬委員會運作之管理。股票已上市或在證券商營業處所上櫃買賣之證券交易輔助人，其年度稽核計畫，應包括永續資訊之管理。公司已依證券交易法規定設置審計委員會者，其年度稽核計畫，尚應包括審計委員會議事運作之管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pPr>
            <w:r>
              <w:rPr>
                <w:rFonts w:hint="eastAsia" w:ascii="新細明體" w:hAnsi="新細明體" w:eastAsia="新細明體" w:cs="新細明體"/>
              </w:rPr>
              <w:t>內部稽核單位應依風險評估結果擬訂年度稽核計畫，據以評估公司之內部控制制度，並至少應將法令規章遵循事項、取得或處分資產、從事衍生性商品交易、為他人背書保證之管理及關係人交易之管理等重大財務業務行為之控制作業、對子公司之監督與管理、財務報表編製流程之管理（包括適用國際財務報導準則之管理、會計專業判斷程序、會計政策與估計值變動之流程等）、資通安全檢查、對金融消費者保護之管理等列為每年年度稽核計畫之稽核項目（股票公開發行之證券交易輔助人，尚應包括董事會議事運作之管理）。股票已上市或在證券商營業處所買賣之證券交易輔助人之每年年度稽核計畫，除應包括上開之稽核項目外，尚應包括薪資報酬委員會運作之管理。股票已上市或在證券商營業處所上櫃買賣之證券交易輔助人，其年度稽核計畫，應包括永續資訊之管理。公司已依證券交易法規定設置審計委員會者，其年度稽核計畫，尚應包括審計委員會議事運作之管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pPr>
            <w:r>
              <w:rPr>
                <w:rFonts w:hint="eastAsia" w:ascii="新細明體" w:hAnsi="新細明體" w:eastAsia="新細明體" w:cs="新細明體"/>
              </w:rPr>
              <w:t>年度稽核計畫應經董事會通過。已設立獨立董事者，將年度稽核計畫提報董事會討論時，應充分考量各獨立董事之意見，獨立董事如有反對意見或保留意見，應於董事會議事錄載明。</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pPr>
            <w:r>
              <w:rPr>
                <w:rFonts w:hint="eastAsia" w:ascii="新細明體" w:hAnsi="新細明體" w:eastAsia="新細明體" w:cs="新細明體"/>
              </w:rPr>
              <w:t>年度稽核計畫應經董事會通過。已設立獨立董事者，將年度稽核計畫提報董事會討論時，應充分考量各獨立董事之意見，獨立董事如有反對意見或保留意見，應於董事會議事錄載明。</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pPr>
            <w:r>
              <w:rPr>
                <w:rFonts w:hint="eastAsia" w:ascii="新細明體" w:hAnsi="新細明體" w:eastAsia="新細明體" w:cs="新細明體"/>
              </w:rPr>
              <w:t>公司應依證交所等證券機構所訂格式內容、方式及申報時間申報年度稽核計畫及其執行情形、所見異常事項改善情形。</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pPr>
            <w:r>
              <w:rPr>
                <w:rFonts w:hint="eastAsia" w:ascii="新細明體" w:hAnsi="新細明體" w:eastAsia="新細明體" w:cs="新細明體"/>
              </w:rPr>
              <w:t>公司應依證交所等證券機構所訂格式內容、方式及申報時間申報年度稽核計畫及其執行情形、所見異常事項改善情形。</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(四)</w:t>
            </w:r>
            <w:r>
              <w:rPr>
                <w:rFonts w:hint="eastAsia" w:ascii="新細明體" w:hAnsi="新細明體" w:eastAsia="新細明體" w:cs="新細明體"/>
              </w:rPr>
              <w:t>總公司應定期實地對分支機構督導查核其內部稽核作業，其作業週期係每半年對每家國內分支機構及每年對每家國外分支機構均至少查核乙次。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(四)</w:t>
            </w:r>
            <w:r>
              <w:rPr>
                <w:rFonts w:hint="eastAsia" w:ascii="新細明體" w:hAnsi="新細明體" w:eastAsia="新細明體" w:cs="新細明體"/>
              </w:rPr>
              <w:t>總公司應定期實地對分支機構督導查核其內部稽核作業，其作業週期係每半年對每家國內分支機構及每年對每家國外分支機構均至少查核乙次。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十二、</w:t>
            </w:r>
            <w:r>
              <w:rPr>
                <w:rFonts w:hint="eastAsia" w:ascii="新細明體" w:hAnsi="新細明體" w:eastAsia="新細明體" w:cs="新細明體"/>
              </w:rPr>
              <w:t>內部稽核之職能：</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十二、</w:t>
            </w:r>
            <w:r>
              <w:rPr>
                <w:rFonts w:hint="eastAsia" w:ascii="新細明體" w:hAnsi="新細明體" w:eastAsia="新細明體" w:cs="新細明體"/>
              </w:rPr>
              <w:t>內部稽核之職能：</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99"/>
            </w:pPr>
            <w:r>
              <w:rPr>
                <w:rFonts w:hint="eastAsia" w:ascii="新細明體" w:hAnsi="新細明體" w:eastAsia="新細明體" w:cs="新細明體"/>
              </w:rPr>
              <w:t>內部稽核職能之目的及範圍通常包括用以評估並改善企業之治理、風險管理及內部控制流程有效性之確信及諮詢工作，該等工作例示如下：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99"/>
            </w:pPr>
            <w:r>
              <w:rPr>
                <w:rFonts w:hint="eastAsia" w:ascii="新細明體" w:hAnsi="新細明體" w:eastAsia="新細明體" w:cs="新細明體"/>
              </w:rPr>
              <w:t>內部稽核職能之目的及範圍通常包括用以評估並改善企業之治理、風險管理及內部控制流程有效性之確信及諮詢工作，該等工作例示如下：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(一)</w:t>
            </w:r>
            <w:r>
              <w:rPr>
                <w:rFonts w:hint="eastAsia" w:ascii="新細明體" w:hAnsi="新細明體" w:eastAsia="新細明體" w:cs="新細明體"/>
              </w:rPr>
              <w:t>與治理有關之工作：</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(一)</w:t>
            </w:r>
            <w:r>
              <w:rPr>
                <w:rFonts w:hint="eastAsia" w:ascii="新細明體" w:hAnsi="新細明體" w:eastAsia="新細明體" w:cs="新細明體"/>
              </w:rPr>
              <w:t>與治理有關之工作：</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pPr>
            <w:r>
              <w:rPr>
                <w:rFonts w:hint="eastAsia" w:ascii="新細明體" w:hAnsi="新細明體" w:eastAsia="新細明體" w:cs="新細明體"/>
              </w:rPr>
              <w:t>內部稽核職能可評估治理流程是否達成下列目標：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pPr>
            <w:r>
              <w:rPr>
                <w:rFonts w:hint="eastAsia" w:ascii="新細明體" w:hAnsi="新細明體" w:eastAsia="新細明體" w:cs="新細明體"/>
              </w:rPr>
              <w:t>內部稽核職能可評估治理流程是否達成下列目標：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道德及價值。</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道德及價值。</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績效管理及課責性。</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績效管理及課責性。</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告知組織之適當內部單位與風險及控制有關之資訊。</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告知組織之適當內部單位與風險及控制有關之資訊。</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治理單位、查核人員、內部稽核人員與管理階層間之有效溝通。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治理單位、查核人員、內部稽核人員與管理階層間之有效溝通。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(二)</w:t>
            </w:r>
            <w:r>
              <w:rPr>
                <w:rFonts w:hint="eastAsia" w:ascii="新細明體" w:hAnsi="新細明體" w:eastAsia="新細明體" w:cs="新細明體"/>
              </w:rPr>
              <w:t>與風險管理有關之工作：</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(二)</w:t>
            </w:r>
            <w:r>
              <w:rPr>
                <w:rFonts w:hint="eastAsia" w:ascii="新細明體" w:hAnsi="新細明體" w:eastAsia="新細明體" w:cs="新細明體"/>
              </w:rPr>
              <w:t>與風險管理有關之工作：</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內部稽核職能可協助辨認並評估重大暴險，以及改善風險管理與內部控制（包含財務報導流程之有效性）。</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內部稽核職能可協助辨認並評估重大暴險，以及改善風險管理與內部控制（包含財務報導流程之有效性）。</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內部稽核職能可協助執行偵查舞弊之程序。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內部稽核職能可協助執行偵查舞弊之程序。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(三)</w:t>
            </w:r>
            <w:r>
              <w:rPr>
                <w:rFonts w:hint="eastAsia" w:ascii="新細明體" w:hAnsi="新細明體" w:eastAsia="新細明體" w:cs="新細明體"/>
              </w:rPr>
              <w:t>與內部控制有關之工作：</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(三)</w:t>
            </w:r>
            <w:r>
              <w:rPr>
                <w:rFonts w:hint="eastAsia" w:ascii="新細明體" w:hAnsi="新細明體" w:eastAsia="新細明體" w:cs="新細明體"/>
              </w:rPr>
              <w:t>與內部控制有關之工作：</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內部控制之評估：</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內部控制之評估：</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pPr>
            <w:r>
              <w:rPr>
                <w:rFonts w:hint="eastAsia" w:ascii="新細明體" w:hAnsi="新細明體" w:eastAsia="新細明體" w:cs="新細明體"/>
              </w:rPr>
              <w:t>內部稽核職能可藉由評估控制之設計及執行，並提出改善建議，對內部控制提供確信。例如，內部稽核職能可能規劃及執行測試或其他程序，俾就內部控制（包含與查核攸關之控制）之設計、付諸實行及執行有效性向管理階層及治理單位提供確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pPr>
            <w:r>
              <w:rPr>
                <w:rFonts w:hint="eastAsia" w:ascii="新細明體" w:hAnsi="新細明體" w:eastAsia="新細明體" w:cs="新細明體"/>
              </w:rPr>
              <w:t>內部稽核職能可藉由評估控制之設計及執行，並提出改善建議，對內部控制提供確信。例如，內部稽核職能可能規劃及執行測試或其他程序，俾就內部控制（包含與查核攸關之控制）之設計、付諸實行及執行有效性向管理階層及治理單位提供確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財務及營運資訊之檢查：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財務及營運資訊之檢查：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pPr>
            <w:r>
              <w:rPr>
                <w:rFonts w:hint="eastAsia" w:ascii="新細明體" w:hAnsi="新細明體" w:eastAsia="新細明體" w:cs="新細明體"/>
              </w:rPr>
              <w:t>內部稽核職能可複核用以辨認、認列、衡量、分類及報導財務與營運資訊之方法（包含對交易、餘額及流程之測試），以及對個別項目執行特定查詢。</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pPr>
            <w:r>
              <w:rPr>
                <w:rFonts w:hint="eastAsia" w:ascii="新細明體" w:hAnsi="新細明體" w:eastAsia="新細明體" w:cs="新細明體"/>
              </w:rPr>
              <w:t>內部稽核職能可複核用以辨認、認列、衡量、分類及報導財務與營運資訊之方法（包含對交易、餘額及流程之測試），以及對個別項目執行特定查詢。</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營運活動之複核：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營運活動之複核：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pPr>
            <w:r>
              <w:rPr>
                <w:rFonts w:hint="eastAsia" w:ascii="新細明體" w:hAnsi="新細明體" w:eastAsia="新細明體" w:cs="新細明體"/>
              </w:rPr>
              <w:t>內部稽核職能可複核營運活動（包含企業之非財務活動）之效率與效果。</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pPr>
            <w:r>
              <w:rPr>
                <w:rFonts w:hint="eastAsia" w:ascii="新細明體" w:hAnsi="新細明體" w:eastAsia="新細明體" w:cs="新細明體"/>
              </w:rPr>
              <w:t>內部稽核職能可複核營運活動（包含企業之非財務活動）之效率與效果。</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法令遵循之複核：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法令遵循之複核：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pPr>
            <w:r>
              <w:rPr>
                <w:rFonts w:hint="eastAsia" w:ascii="新細明體" w:hAnsi="新細明體" w:eastAsia="新細明體" w:cs="新細明體"/>
              </w:rPr>
              <w:t>內部稽核職能可複核法令及其他外部規定之遵循，以及管理階層訂定之政策及程序與其他內部規定之遵循。</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pPr>
            <w:r>
              <w:rPr>
                <w:rFonts w:hint="eastAsia" w:ascii="新細明體" w:hAnsi="新細明體" w:eastAsia="新細明體" w:cs="新細明體"/>
              </w:rPr>
              <w:t>內部稽核職能可複核法令及其他外部規定之遵循，以及管理階層訂定之政策及程序與其他內部規定之遵循。</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十三、</w:t>
            </w:r>
            <w:r>
              <w:rPr>
                <w:rFonts w:hint="eastAsia" w:ascii="新細明體" w:hAnsi="新細明體" w:eastAsia="新細明體" w:cs="新細明體"/>
              </w:rPr>
              <w:t>稽核人員之職責：</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十三、</w:t>
            </w:r>
            <w:r>
              <w:rPr>
                <w:rFonts w:hint="eastAsia" w:ascii="新細明體" w:hAnsi="新細明體" w:eastAsia="新細明體" w:cs="新細明體"/>
              </w:rPr>
              <w:t>稽核人員之職責：</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(一)</w:t>
            </w:r>
            <w:r>
              <w:rPr>
                <w:rFonts w:hint="eastAsia" w:ascii="新細明體" w:hAnsi="新細明體" w:eastAsia="新細明體" w:cs="新細明體"/>
              </w:rPr>
              <w:t>稽核人員秉承董事會指揮監督，執行公司內部稽核工作。</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(一)</w:t>
            </w:r>
            <w:r>
              <w:rPr>
                <w:rFonts w:hint="eastAsia" w:ascii="新細明體" w:hAnsi="新細明體" w:eastAsia="新細明體" w:cs="新細明體"/>
              </w:rPr>
              <w:t>稽核人員秉承董事會指揮監督，執行公司內部稽核工作。</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(二)</w:t>
            </w:r>
            <w:r>
              <w:rPr>
                <w:rFonts w:hint="eastAsia" w:ascii="新細明體" w:hAnsi="新細明體" w:eastAsia="新細明體" w:cs="新細明體"/>
              </w:rPr>
              <w:t>稽核人員執行工作遇有疑問時，應於獲得解釋及澈底瞭解後，方得提出處理意見。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(二)</w:t>
            </w:r>
            <w:r>
              <w:rPr>
                <w:rFonts w:hint="eastAsia" w:ascii="新細明體" w:hAnsi="新細明體" w:eastAsia="新細明體" w:cs="新細明體"/>
              </w:rPr>
              <w:t>稽核人員執行工作遇有疑問時，應於獲得解釋及澈底瞭解後，方得提出處理意見。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(三)</w:t>
            </w:r>
            <w:r>
              <w:rPr>
                <w:rFonts w:hint="eastAsia" w:ascii="新細明體" w:hAnsi="新細明體" w:eastAsia="新細明體" w:cs="新細明體"/>
              </w:rPr>
              <w:t>稽核人員執行工作時，如發現員工有不當情事，除與其直屬主管連繫外，應即向公司最高主管報告，不得直接處理。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(三)</w:t>
            </w:r>
            <w:r>
              <w:rPr>
                <w:rFonts w:hint="eastAsia" w:ascii="新細明體" w:hAnsi="新細明體" w:eastAsia="新細明體" w:cs="新細明體"/>
              </w:rPr>
              <w:t>稽核人員執行工作時，如發現員工有不當情事，除與其直屬主管連繫外，應即向公司最高主管報告，不得直接處理。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(四)</w:t>
            </w:r>
            <w:r>
              <w:rPr>
                <w:rFonts w:hint="eastAsia" w:ascii="新細明體" w:hAnsi="新細明體" w:eastAsia="新細明體" w:cs="新細明體"/>
              </w:rPr>
              <w:t>稽核人員執行工作時，得調閱一切檔案，受查單位不得拒絕或隱匿，如屬機密性之檔案，應先報准後始得調閱。</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(四)</w:t>
            </w:r>
            <w:r>
              <w:rPr>
                <w:rFonts w:hint="eastAsia" w:ascii="新細明體" w:hAnsi="新細明體" w:eastAsia="新細明體" w:cs="新細明體"/>
              </w:rPr>
              <w:t>稽核人員執行工作時，得調閱一切檔案，受查單位不得拒絕或隱匿，如屬機密性之檔案，應先報准後始得調閱。</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(五)</w:t>
            </w:r>
            <w:r>
              <w:rPr>
                <w:rFonts w:hint="eastAsia" w:ascii="新細明體" w:hAnsi="新細明體" w:eastAsia="新細明體" w:cs="新細明體"/>
              </w:rPr>
              <w:t>稽核人員應訂定查核週期定期加以稽核，並於每次查核完畢，作成稽核報告，檢附相關附件，呈報所見缺失及改進建議等，並繼續追蹤改進情形。</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(五)</w:t>
            </w:r>
            <w:r>
              <w:rPr>
                <w:rFonts w:hint="eastAsia" w:ascii="新細明體" w:hAnsi="新細明體" w:eastAsia="新細明體" w:cs="新細明體"/>
              </w:rPr>
              <w:t>稽核人員應訂定查核週期定期加以稽核，並於每次查核完畢，作成稽核報告，檢附相關附件，呈報所見缺失及改進建議等，並繼續追蹤改進情形。</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(六)</w:t>
            </w:r>
            <w:r>
              <w:rPr>
                <w:rFonts w:hint="eastAsia" w:ascii="新細明體" w:hAnsi="新細明體" w:eastAsia="新細明體" w:cs="新細明體"/>
              </w:rPr>
              <w:t>稽核報告應依規定格式填寫，包括查核日期、查核項目、查核經過內容(所見事實、違反何種規章、所採措施如何)及改進建議等，且裝訂成冊並於封面註明起迄時間，妥為保管；其中稽核報告（含查核明細表）、工作底稿及相關資料至少應保存五年。但對事實未發生之查核項目得於稽核報告上註明即可，毋庸檢附相關查核明細表及工作底稿。稽核報告之完成期限，每日查核應於查核日後二個營業日內完成，每週查核應於受查期間之後五個營業日內完成，每月、每季、每半年及每年查核應於受查期間之後二週內完成。</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(六)</w:t>
            </w:r>
            <w:r>
              <w:rPr>
                <w:rFonts w:hint="eastAsia" w:ascii="新細明體" w:hAnsi="新細明體" w:eastAsia="新細明體" w:cs="新細明體"/>
              </w:rPr>
              <w:t>稽核報告應依規定格式填寫，包括查核日期、查核項目、查核經過內容(所見事實、違反何種規章、所採措施如何)及改進建議等，且裝訂成冊並於封面註明起迄時間，妥為保管；其中稽核報告（含查核明細表）、工作底稿及相關資料至少應保存五年。但對事實未發生之查核項目得於稽核報告上註明即可，毋庸檢附相關查核明細表及工作底稿。稽核報告之完成期限，每日查核應於查核日後二個營業日內完成，每週查核應於受查期間之後五個營業日內完成，每月、每季、每半年及每年查核應於受查期間之後二週內完成。</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(七)</w:t>
            </w:r>
            <w:r>
              <w:rPr>
                <w:rFonts w:hint="eastAsia" w:ascii="新細明體" w:hAnsi="新細明體" w:eastAsia="新細明體" w:cs="新細明體"/>
              </w:rPr>
              <w:t>內部稽核人員應與受查單位就年度稽核項目查核結果充分溝通，對於評估所發現之內部控制制度缺失及異常事項（包括主管機關或自律機構檢查所發現、內部稽核作業所發現、內部控制制度聲明書所列、自行評估及會計師專案審查所發現之各項缺失），應據實揭露於稽核報告，並於該報告陳核後加以追蹤，至少按季作成追蹤報告並提報董事會至改善為止，以確定相關單位業已及時採取適當之改善措施。總分公司間應建立異常事項即時通報機制，以確保分公司異常事項能即時通報總公司稽核主管。且公司應將內部控制制度缺失、異常事項及改善情形，列為各部門績效考核之重要項目。</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(七)</w:t>
            </w:r>
            <w:r>
              <w:rPr>
                <w:rFonts w:hint="eastAsia" w:ascii="新細明體" w:hAnsi="新細明體" w:eastAsia="新細明體" w:cs="新細明體"/>
              </w:rPr>
              <w:t>內部稽核人員應與受查單位就年度稽核項目查核結果充分溝通，對於評估所發現之內部控制制度缺失及異常事項（包括主管機關或自律機構檢查所發現、內部稽核作業所發現、內部控制制度聲明書所列、自行評估及會計師專案審查所發現之各項缺失），應據實揭露於稽核報告，並於該報告陳核後加以追蹤，至少按季作成追蹤報告並提報董事會至改善為止，以確定相關單位業已及時採取適當之改善措施。總分公司間應建立異常事項即時通報機制，以確保分公司異常事項能即時通報總公司稽核主管。且公司應將內部控制制度缺失、異常事項及改善情形，列為各部門績效考核之重要項目。</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(八)</w:t>
            </w:r>
            <w:r>
              <w:rPr>
                <w:rFonts w:hint="eastAsia" w:ascii="新細明體" w:hAnsi="新細明體" w:eastAsia="新細明體" w:cs="新細明體"/>
              </w:rPr>
              <w:t>稽核報告及追蹤報告陳核後，應於稽核項目完成之次月底前交付各監察人查閱。內部稽核人員如發現重大違規情事或公司有受重大損失之虞時，應立即作成報告陳核，並通知各監察人。設有獨立董事者，應一併交付或通知獨立董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(八)</w:t>
            </w:r>
            <w:r>
              <w:rPr>
                <w:rFonts w:hint="eastAsia" w:ascii="新細明體" w:hAnsi="新細明體" w:eastAsia="新細明體" w:cs="新細明體"/>
              </w:rPr>
              <w:t>稽核報告及追蹤報告陳核後，應於稽核項目完成之次月底前交付各監察人查閱。內部稽核人員如發現重大違規情事或公司有受重大損失之虞時，應立即作成報告陳核，並通知各監察人。設有獨立董事者，應一併交付或通知獨立董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(九)</w:t>
            </w:r>
            <w:r>
              <w:rPr>
                <w:rFonts w:hint="eastAsia" w:ascii="新細明體" w:hAnsi="新細明體" w:eastAsia="新細明體" w:cs="新細明體"/>
              </w:rPr>
              <w:t>分公司稽核報告應至少每月一次由總公司稽核主管彙整陳核最高主管（董事長或董事會授權之主管）。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(九)</w:t>
            </w:r>
            <w:r>
              <w:rPr>
                <w:rFonts w:hint="eastAsia" w:ascii="新細明體" w:hAnsi="新細明體" w:eastAsia="新細明體" w:cs="新細明體"/>
              </w:rPr>
              <w:t>分公司稽核報告應至少每月一次由總公司稽核主管彙整陳核最高主管（董事長或董事會授權之主管）。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十四、</w:t>
            </w:r>
            <w:r>
              <w:rPr>
                <w:rFonts w:hint="eastAsia" w:ascii="新細明體" w:hAnsi="新細明體" w:eastAsia="新細明體" w:cs="新細明體"/>
              </w:rPr>
              <w:t>稽核人員應注意事項：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十四、</w:t>
            </w:r>
            <w:r>
              <w:rPr>
                <w:rFonts w:hint="eastAsia" w:ascii="新細明體" w:hAnsi="新細明體" w:eastAsia="新細明體" w:cs="新細明體"/>
              </w:rPr>
              <w:t>稽核人員應注意事項：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(一)</w:t>
            </w:r>
            <w:r>
              <w:rPr>
                <w:rFonts w:hint="eastAsia" w:ascii="新細明體" w:hAnsi="新細明體" w:eastAsia="新細明體" w:cs="新細明體"/>
              </w:rPr>
              <w:t>內部稽核人員應秉持超然獨立之精神，以客觀公正之立場，確實執行職務，除定期向各監察人報告稽核業務外，稽核主管並應列席董事會報告。內部稽核人員執行業務應本誠實信用原則，並不得有下列情事：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(一)</w:t>
            </w:r>
            <w:r>
              <w:rPr>
                <w:rFonts w:hint="eastAsia" w:ascii="新細明體" w:hAnsi="新細明體" w:eastAsia="新細明體" w:cs="新細明體"/>
              </w:rPr>
              <w:t>內部稽核人員應秉持超然獨立之精神，以客觀公正之立場，確實執行職務，除定期向各監察人報告稽核業務外，稽核主管並應列席董事會報告。內部稽核人員執行業務應本誠實信用原則，並不得有下列情事：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明知公司之營運活動、報導及相關法令規章遵循情況有直接損害受益人、客戶或利害關係人之情事，而予以隱飾或作不實、不當之揭露。</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明知公司之營運活動、報導及相關法令規章遵循情況有直接損害受益人、客戶或利害關係人之情事，而予以隱飾或作不實、不當之揭露。</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因職務上之廢弛，致損及公司或利害關係人之權益等情事。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因職務上之廢弛，致損及公司或利害關係人之權益等情事。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逾越稽核職權範圍以外之行為或有其他不正當情事，意圖為自己或第三人之利益，違背其職務之行為或侵占公司資產。</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逾越稽核職權範圍以外之行為或有其他不正當情事，意圖為自己或第三人之利益，違背其職務之行為或侵占公司資產。</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對於以前曾服務之部門，於一年內進行稽核作業。但依主管機關規定，訂定下列防範利益衝突之適當措施者，分公司內部稽核人員得對以前服務之部門進行稽核作業：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對於以前曾服務之部門，於一年內進行稽核作業。但依主管機關規定，訂定下列防範利益衝突之適當措施者，分公司內部稽核人員得對以前服務之部門進行稽核作業：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(1)</w:t>
            </w:r>
            <w:r>
              <w:rPr>
                <w:rFonts w:hint="eastAsia" w:ascii="新細明體" w:hAnsi="新細明體" w:eastAsia="新細明體" w:cs="新細明體"/>
              </w:rPr>
              <w:t>總公司稽核部門應就該分公司新任稽核人員之原職務內容進行專案查核，查核無疑慮後其始得就任。</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(1)</w:t>
            </w:r>
            <w:r>
              <w:rPr>
                <w:rFonts w:hint="eastAsia" w:ascii="新細明體" w:hAnsi="新細明體" w:eastAsia="新細明體" w:cs="新細明體"/>
              </w:rPr>
              <w:t>總公司稽核部門應就該分公司新任稽核人員之原職務內容進行專案查核，查核無疑慮後其始得就任。</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(2)</w:t>
            </w:r>
            <w:r>
              <w:rPr>
                <w:rFonts w:hint="eastAsia" w:ascii="新細明體" w:hAnsi="新細明體" w:eastAsia="新細明體" w:cs="新細明體"/>
              </w:rPr>
              <w:t>總公司稽核部門主管應就該分公司新任稽核人員之適任性盡評估責任。</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(2)</w:t>
            </w:r>
            <w:r>
              <w:rPr>
                <w:rFonts w:hint="eastAsia" w:ascii="新細明體" w:hAnsi="新細明體" w:eastAsia="新細明體" w:cs="新細明體"/>
              </w:rPr>
              <w:t>總公司稽核部門主管應就該分公司新任稽核人員之適任性盡評估責任。</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(3)</w:t>
            </w:r>
            <w:r>
              <w:rPr>
                <w:rFonts w:hint="eastAsia" w:ascii="新細明體" w:hAnsi="新細明體" w:eastAsia="新細明體" w:cs="新細明體"/>
              </w:rPr>
              <w:t>總公司稽核部門應就稽核人員係由原分公司其他部門轉任之營業據點，提高查核頻率至每季一次，直至該稽核人員任職屆滿一年為止。</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(3)</w:t>
            </w:r>
            <w:r>
              <w:rPr>
                <w:rFonts w:hint="eastAsia" w:ascii="新細明體" w:hAnsi="新細明體" w:eastAsia="新細明體" w:cs="新細明體"/>
              </w:rPr>
              <w:t>總公司稽核部門應就稽核人員係由原分公司其他部門轉任之營業據點，提高查核頻率至每季一次，直至該稽核人員任職屆滿一年為止。</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(4)</w:t>
            </w:r>
            <w:r>
              <w:rPr>
                <w:rFonts w:hint="eastAsia" w:ascii="新細明體" w:hAnsi="新細明體" w:eastAsia="新細明體" w:cs="新細明體"/>
              </w:rPr>
              <w:t>該分公司新任稽核人員及經理人應分別出具書面聲明，表示將確盡稽核義務，及表示尊重稽核人員之獨立性，絕不干預。</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hangingChars="115"/>
            </w:pPr>
            <w:r>
              <w:rPr>
                <w:rFonts w:hint="eastAsia" w:ascii="新細明體" w:hAnsi="新細明體" w:eastAsia="新細明體" w:cs="新細明體"/>
              </w:rPr>
              <w:t>(4)</w:t>
            </w:r>
            <w:r>
              <w:rPr>
                <w:rFonts w:hint="eastAsia" w:ascii="新細明體" w:hAnsi="新細明體" w:eastAsia="新細明體" w:cs="新細明體"/>
              </w:rPr>
              <w:t>該分公司新任稽核人員及經理人應分別出具書面聲明，表示將確盡稽核義務，及表示尊重稽核人員之獨立性，絕不干預。</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與自身有利害關係或利益衝突案件未予迴避。</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與自身有利害關係或利益衝突案件未予迴避。</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未配合辦理主管機關指示查核事項或提供相關資料。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未配合辦理主管機關指示查核事項或提供相關資料。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7.</w:t>
            </w:r>
            <w:r>
              <w:rPr>
                <w:rFonts w:hint="eastAsia" w:ascii="新細明體" w:hAnsi="新細明體" w:eastAsia="新細明體" w:cs="新細明體"/>
              </w:rPr>
              <w:t>直接或間接提供、承諾、要求或收受不合理禮物、款待或其他任何形式之不正當利益。</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7.</w:t>
            </w:r>
            <w:r>
              <w:rPr>
                <w:rFonts w:hint="eastAsia" w:ascii="新細明體" w:hAnsi="新細明體" w:eastAsia="新細明體" w:cs="新細明體"/>
              </w:rPr>
              <w:t>直接或間接提供、承諾、要求或收受不合理禮物、款待或其他任何形式之不正當利益。</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8.</w:t>
            </w:r>
            <w:r>
              <w:rPr>
                <w:rFonts w:hint="eastAsia" w:ascii="新細明體" w:hAnsi="新細明體" w:eastAsia="新細明體" w:cs="新細明體"/>
              </w:rPr>
              <w:t>其他違反法令或經主管機關規定不得為之行為。</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8.</w:t>
            </w:r>
            <w:r>
              <w:rPr>
                <w:rFonts w:hint="eastAsia" w:ascii="新細明體" w:hAnsi="新細明體" w:eastAsia="新細明體" w:cs="新細明體"/>
              </w:rPr>
              <w:t>其他違反法令或經主管機關規定不得為之行為。</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(二)</w:t>
            </w:r>
            <w:r>
              <w:rPr>
                <w:rFonts w:hint="eastAsia" w:ascii="新細明體" w:hAnsi="新細明體" w:eastAsia="新細明體" w:cs="新細明體"/>
              </w:rPr>
              <w:t>稽核人員應持續參加主管機關或專業機構或公司自行舉辦之內部稽核講習及各項專業課程，以提昇稽核品質及能力。</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(二)</w:t>
            </w:r>
            <w:r>
              <w:rPr>
                <w:rFonts w:hint="eastAsia" w:ascii="新細明體" w:hAnsi="新細明體" w:eastAsia="新細明體" w:cs="新細明體"/>
              </w:rPr>
              <w:t>稽核人員應持續參加主管機關或專業機構或公司自行舉辦之內部稽核講習及各項專業課程，以提昇稽核品質及能力。</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(三)</w:t>
            </w:r>
            <w:r>
              <w:rPr>
                <w:rFonts w:hint="eastAsia" w:ascii="新細明體" w:hAnsi="新細明體" w:eastAsia="新細明體" w:cs="新細明體"/>
              </w:rPr>
              <w:t>稽核程序按查核計畫進行，避免不必要之討論與諮詢，儘量減少影響受查單位經辦人員本身之工作，遇有不明瞭之事項，應於適當時間提出詢問，至澈底瞭解為止。</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(三)</w:t>
            </w:r>
            <w:r>
              <w:rPr>
                <w:rFonts w:hint="eastAsia" w:ascii="新細明體" w:hAnsi="新細明體" w:eastAsia="新細明體" w:cs="新細明體"/>
              </w:rPr>
              <w:t>稽核程序按查核計畫進行，避免不必要之討論與諮詢，儘量減少影響受查單位經辦人員本身之工作，遇有不明瞭之事項，應於適當時間提出詢問，至澈底瞭解為止。</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(四)</w:t>
            </w:r>
            <w:r>
              <w:rPr>
                <w:rFonts w:hint="eastAsia" w:ascii="新細明體" w:hAnsi="新細明體" w:eastAsia="新細明體" w:cs="新細明體"/>
              </w:rPr>
              <w:t>勿與受查單位人員爭論制度上之不完備，發現錯誤情事不得當面批評，受查單位人員如有申訴或建議，應細心聆聽，勿與辯論。</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(四)</w:t>
            </w:r>
            <w:r>
              <w:rPr>
                <w:rFonts w:hint="eastAsia" w:ascii="新細明體" w:hAnsi="新細明體" w:eastAsia="新細明體" w:cs="新細明體"/>
              </w:rPr>
              <w:t>勿與受查單位人員爭論制度上之不完備，發現錯誤情事不得當面批評，受查單位人員如有申訴或建議，應細心聆聽，勿與辯論。</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(五)</w:t>
            </w:r>
            <w:r>
              <w:rPr>
                <w:rFonts w:hint="eastAsia" w:ascii="新細明體" w:hAnsi="新細明體" w:eastAsia="新細明體" w:cs="新細明體"/>
              </w:rPr>
              <w:t>稽核人員應充分瞭解現行相關法令，並熟諳公司現行內部控制各種制度、規章，尚應透徹瞭解受查單位之單行辦法及特殊情況。</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(五)</w:t>
            </w:r>
            <w:r>
              <w:rPr>
                <w:rFonts w:hint="eastAsia" w:ascii="新細明體" w:hAnsi="新細明體" w:eastAsia="新細明體" w:cs="新細明體"/>
              </w:rPr>
              <w:t>稽核人員應充分瞭解現行相關法令，並熟諳公司現行內部控制各種制度、規章，尚應透徹瞭解受查單位之單行辦法及特殊情況。</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(六)</w:t>
            </w:r>
            <w:r>
              <w:rPr>
                <w:rFonts w:hint="eastAsia" w:ascii="新細明體" w:hAnsi="新細明體" w:eastAsia="新細明體" w:cs="新細明體"/>
              </w:rPr>
              <w:t>稽核人員應事前熟知受查單位之歷史背景、重要資料及以往稽核報告內容。</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(六)</w:t>
            </w:r>
            <w:r>
              <w:rPr>
                <w:rFonts w:hint="eastAsia" w:ascii="新細明體" w:hAnsi="新細明體" w:eastAsia="新細明體" w:cs="新細明體"/>
              </w:rPr>
              <w:t>稽核人員應事前熟知受查單位之歷史背景、重要資料及以往稽核報告內容。</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(七)</w:t>
            </w:r>
            <w:r>
              <w:rPr>
                <w:rFonts w:hint="eastAsia" w:ascii="新細明體" w:hAnsi="新細明體" w:eastAsia="新細明體" w:cs="新細明體"/>
              </w:rPr>
              <w:t>稽核人員對查核結果應予合理判斷，此項判斷應有可靠之理論依據，獲得足夠而適切之證明。</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(七)</w:t>
            </w:r>
            <w:r>
              <w:rPr>
                <w:rFonts w:hint="eastAsia" w:ascii="新細明體" w:hAnsi="新細明體" w:eastAsia="新細明體" w:cs="新細明體"/>
              </w:rPr>
              <w:t>稽核人員對查核結果應予合理判斷，此項判斷應有可靠之理論依據，獲得足夠而適切之證明。</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(八)</w:t>
            </w:r>
            <w:r>
              <w:rPr>
                <w:rFonts w:hint="eastAsia" w:ascii="新細明體" w:hAnsi="新細明體" w:eastAsia="新細明體" w:cs="新細明體"/>
              </w:rPr>
              <w:t>稽核人員執行查核工作係接觸公司第一手機密檔案資料，應嚴格保密，並應提高警覺，注意文件安全，以防失落。</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(八)</w:t>
            </w:r>
            <w:r>
              <w:rPr>
                <w:rFonts w:hint="eastAsia" w:ascii="新細明體" w:hAnsi="新細明體" w:eastAsia="新細明體" w:cs="新細明體"/>
              </w:rPr>
              <w:t>稽核人員執行查核工作係接觸公司第一手機密檔案資料，應嚴格保密，並應提高警覺，注意文件安全，以防失落。</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十五、</w:t>
            </w:r>
            <w:r>
              <w:rPr>
                <w:rFonts w:hint="eastAsia" w:ascii="新細明體" w:hAnsi="新細明體" w:eastAsia="新細明體" w:cs="新細明體"/>
              </w:rPr>
              <w:t>分公司不設專職內部稽核人員規範：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十五、</w:t>
            </w:r>
            <w:r>
              <w:rPr>
                <w:rFonts w:hint="eastAsia" w:ascii="新細明體" w:hAnsi="新細明體" w:eastAsia="新細明體" w:cs="新細明體"/>
              </w:rPr>
              <w:t>分公司不設專職內部稽核人員規範：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99"/>
            </w:pPr>
            <w:r>
              <w:rPr>
                <w:rFonts w:hint="eastAsia" w:ascii="新細明體" w:hAnsi="新細明體" w:eastAsia="新細明體" w:cs="新細明體"/>
              </w:rPr>
              <w:t>公司基於本身業務及管理之考量，在不影響公司經營風險下，分公司得不設專職之內部稽核人員，但必須指派專人辦理分公司自行查核作業。公司採此種自行查核作業者，除應準用上述十至十四之規定外，自行查核人員之資格條件、人數配置、查核項目、頻率及格式與其他有關事項，並須符合下列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99"/>
            </w:pPr>
            <w:r>
              <w:rPr>
                <w:rFonts w:hint="eastAsia" w:ascii="新細明體" w:hAnsi="新細明體" w:eastAsia="新細明體" w:cs="新細明體"/>
              </w:rPr>
              <w:t>公司基於本身業務及管理之考量，在不影響公司經營風險下，分公司得不設專職之內部稽核人員，但必須指派專人辦理分公司自行查核作業。公司採此種自行查核作業者，除應準用上述十至十四之規定外，自行查核人員之資格條件、人數配置、查核項目、頻率及格式與其他有關事項，並須符合下列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(一)</w:t>
            </w:r>
            <w:r>
              <w:rPr>
                <w:rFonts w:hint="eastAsia" w:ascii="新細明體" w:hAnsi="新細明體" w:eastAsia="新細明體" w:cs="新細明體"/>
              </w:rPr>
              <w:t>自行查核人員之資格條件及人數配置：有關分公司非專職之查核人員，除應具備業務員或高級業務員資格外，至少須由曾參加證基會或券商公會舉辦之「內部稽核講習」研習結業並經考試及格者。經指定之查核人員，不得就自己經辦之業務進行查核，每一分公司應置自行查核人員至少為二人，並應經登記為各該分公司業務員或高級業務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(一)</w:t>
            </w:r>
            <w:r>
              <w:rPr>
                <w:rFonts w:hint="eastAsia" w:ascii="新細明體" w:hAnsi="新細明體" w:eastAsia="新細明體" w:cs="新細明體"/>
              </w:rPr>
              <w:t>自行查核人員之資格條件及人數配置：有關分公司非專職之查核人員，除應具備業務員或高級業務員資格外，至少須由曾參加證基會或券商公會舉辦之「內部稽核講習」研習結業並經考試及格者。經指定之查核人員，不得就自己經辦之業務進行查核，每一分公司應置自行查核人員至少為二人，並應經登記為各該分公司業務員或高級業務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(二)</w:t>
            </w:r>
            <w:r>
              <w:rPr>
                <w:rFonts w:hint="eastAsia" w:ascii="新細明體" w:hAnsi="新細明體" w:eastAsia="新細明體" w:cs="新細明體"/>
              </w:rPr>
              <w:t>查核項目、頻率及格式：分公司辦理自行查核作業，其查核項目、頻率及格式均比照現行證券交易輔助人內部稽核報告（含查核明細表、查核工作底稿及相關資料等）相關規範內容辦理。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(二)</w:t>
            </w:r>
            <w:r>
              <w:rPr>
                <w:rFonts w:hint="eastAsia" w:ascii="新細明體" w:hAnsi="新細明體" w:eastAsia="新細明體" w:cs="新細明體"/>
              </w:rPr>
              <w:t>查核項目、頻率及格式：分公司辦理自行查核作業，其查核項目、頻率及格式均比照現行證券交易輔助人內部稽核報告（含查核明細表、查核工作底稿及相關資料等）相關規範內容辦理。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(三)</w:t>
            </w:r>
            <w:r>
              <w:rPr>
                <w:rFonts w:hint="eastAsia" w:ascii="新細明體" w:hAnsi="新細明體" w:eastAsia="新細明體" w:cs="新細明體"/>
              </w:rPr>
              <w:t>公司採專人辦理分公司自行查核作業者，應加強分公司之督導查核，方式如下：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(三)</w:t>
            </w:r>
            <w:r>
              <w:rPr>
                <w:rFonts w:hint="eastAsia" w:ascii="新細明體" w:hAnsi="新細明體" w:eastAsia="新細明體" w:cs="新細明體"/>
              </w:rPr>
              <w:t>公司採專人辦理分公司自行查核作業者，應加強分公司之督導查核，方式如下：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內部稽核作業（自行查核作業）之督導查核：由總公司指派內部稽核人員至少每半年對每家分公司至少依「查核分支機構內部稽核作業評核表」項目查核一次。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內部稽核作業（自行查核作業）之督導查核：由總公司指派內部稽核人員至少每半年對每家分公司至少依「查核分支機構內部稽核作業評核表」項目查核一次。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財務業務作業之督導查核：由總公司指派內部稽核人員至少每半年對每家分公司至少依「查核分支機構財務業務作業報告表」項目實際查核一次，不得以複核方式辦理。公司並應視管理需要及分公司實際狀況，加強查核之項目（例如過去曾發生之重大缺失事項）、頻率及深度。</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財務業務作業之督導查核：由總公司指派內部稽核人員至少每半年對每家分公司至少依「查核分支機構財務業務作業報告表」項目實際查核一次，不得以複核方式辦理。公司並應視管理需要及分公司實際狀況，加強查核之項目（例如過去曾發生之重大缺失事項）、頻率及深度。</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查核報告檢送作業：上開內部稽核作業（自行查核作業）及財務業務作業之督導查核，公司應於查核之次月五日前將「查核分支機構內部稽核作業評核表」（包含內部稽核作業評核表、內部稽核作業工作底稿及覆核項目之查核明細表與工作底稿等之完整稽核報告）」及「查核分支機構財務業務作業報告表」（包含查核明細表、查核工作底稿及相關資料），彙整於總公司，俾利主管機關、證交所或櫃檯買賣中心調閱。</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查核報告檢送作業：上開內部稽核作業（自行查核作業）及財務業務作業之督導查核，公司應於查核之次月五日前將「查核分支機構內部稽核作業評核表」（包含內部稽核作業評核表、內部稽核作業工作底稿及覆核項目之查核明細表與工作底稿等之完整稽核報告）」及「查核分支機構財務業務作業報告表」（包含查核明細表、查核工作底稿及相關資料），彙整於總公司，俾利主管機關、證交所或櫃檯買賣中心調閱。</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總公司稽核部門應就因作業疏失而遭受主管機關或證券相關機構處分（指主管機關糾正以上處分，或相關機構因查核而函請改善以上處置）之分公司加強輔導與查核，於受處分後每三個月至少執行一次無預警查核，直至總公司稽核部門評估業已改善為止，並留存相關紀錄；另總公司稽核部門並應將前開分公司受處分之缺失事項周知所有分公司並留存通知紀錄，請其他分公司自行查核人員亦對該等缺失事項注意查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總公司稽核部門應就因作業疏失而遭受主管機關或證券相關機構處分（指主管機關糾正以上處分，或相關機構因查核而函請改善以上處置）之分公司加強輔導與查核，於受處分後每三個月至少執行一次無預警查核，直至總公司稽核部門評估業已改善為止，並留存相關紀錄；另總公司稽核部門並應將前開分公司受處分之缺失事項周知所有分公司並留存通知紀錄，請其他分公司自行查核人員亦對該等缺失事項注意查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公司應針對全體分公司經理人及相關從業人員加強宣導內控落實之責任及法令遵循之義務，以強調遵法精神，並將相關宣導資料建檔備查。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公司應針對全體分公司經理人及相關從業人員加強宣導內控落實之責任及法令遵循之義務，以強調遵法精神，並將相關宣導資料建檔備查。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公司應就分公司執行自行查核作業之良窳，列入分公司經理人、督導主管及自行查核人員年度績效考核項目，並留存紀錄，若對重大違規事項有隱匿之情事者，應依公司獎懲規定予以處分，以強化自行查核品質。</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公司應就分公司執行自行查核作業之良窳，列入分公司經理人、督導主管及自行查核人員年度績效考核項目，並留存紀錄，若對重大違規事項有隱匿之情事者，應依公司獎懲規定予以處分，以強化自行查核品質。</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7.</w:t>
            </w:r>
            <w:r>
              <w:rPr>
                <w:rFonts w:hint="eastAsia" w:ascii="新細明體" w:hAnsi="新細明體" w:eastAsia="新細明體" w:cs="新細明體"/>
              </w:rPr>
              <w:t>分公司因投資人檢舉案或外部查核單位查核發現顯有內控內稽作業未予落實之情形，除應依主管機關或外部查核單位之規定及要求辦理外，總公司稽核部門並應就該分公司加強輔導與查核，並留存輔導與查核相關資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7.</w:t>
            </w:r>
            <w:r>
              <w:rPr>
                <w:rFonts w:hint="eastAsia" w:ascii="新細明體" w:hAnsi="新細明體" w:eastAsia="新細明體" w:cs="新細明體"/>
              </w:rPr>
              <w:t>分公司因投資人檢舉案或外部查核單位查核發現顯有內控內稽作業未予落實之情形，除應依主管機關或外部查核單位之規定及要求辦理外，總公司稽核部門並應就該分公司加強輔導與查核，並留存輔導與查核相關資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8.</w:t>
            </w:r>
            <w:r>
              <w:rPr>
                <w:rFonts w:hint="eastAsia" w:ascii="新細明體" w:hAnsi="新細明體" w:eastAsia="新細明體" w:cs="新細明體"/>
              </w:rPr>
              <w:t>分公司自行查核結果除應依規報總公司稽核部門彙陳外，總公司稽核部門應視自行查核結果中所列缺失事項之輕重程度，即時陳報董事會，於必要時應加強輔導與查核。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8.</w:t>
            </w:r>
            <w:r>
              <w:rPr>
                <w:rFonts w:hint="eastAsia" w:ascii="新細明體" w:hAnsi="新細明體" w:eastAsia="新細明體" w:cs="新細明體"/>
              </w:rPr>
              <w:t>分公司自行查核結果除應依規報總公司稽核部門彙陳外，總公司稽核部門應視自行查核結果中所列缺失事項之輕重程度，即時陳報董事會，於必要時應加強輔導與查核。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(四)</w:t>
            </w:r>
            <w:r>
              <w:rPr>
                <w:rFonts w:hint="eastAsia" w:ascii="新細明體" w:hAnsi="新細明體" w:eastAsia="新細明體" w:cs="新細明體"/>
              </w:rPr>
              <w:t>公司欲採專人辦理分公司自行查核作業者，分公司應全數適用，除新採行或原已採分公司自行查核作業欲變更為專職內部稽核人員制度者，應於每年十二月向證交所等證券相關機構函報次一年度查核制度外，如無變動，無須函報證交所等證券相關機構。公司於年度中將分公司內部稽核制度由專人辦理自行查核作業改為專職內部稽核人員辦理查核作業者，於事先書面申報證交所等證券相關機構後即可生效，惟仍應依規辦理內部稽核人員登記事宜。</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(四)</w:t>
            </w:r>
            <w:r>
              <w:rPr>
                <w:rFonts w:hint="eastAsia" w:ascii="新細明體" w:hAnsi="新細明體" w:eastAsia="新細明體" w:cs="新細明體"/>
              </w:rPr>
              <w:t>公司欲採專人辦理分公司自行查核作業者，分公司應全數適用，除新採行或原已採分公司自行查核作業欲變更為專職內部稽核人員制度者，應於每年十二月向證交所等證券相關機構函報次一年度查核制度外，如無變動，無須函報證交所等證券相關機構。公司於年度中將分公司內部稽核制度由專人辦理自行查核作業改為專職內部稽核人員辦理查核作業者，於事先書面申報證交所等證券相關機構後即可生效，惟仍應依規辦理內部稽核人員登記事宜。</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(五)</w:t>
            </w:r>
            <w:r>
              <w:rPr>
                <w:rFonts w:hint="eastAsia" w:ascii="新細明體" w:hAnsi="新細明體" w:eastAsia="新細明體" w:cs="新細明體"/>
              </w:rPr>
              <w:t>其他：主管機關及證交所等證券相關機構就證券交易輔助人內部稽核制度或作業所為規定，均應遵守之。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(五)</w:t>
            </w:r>
            <w:r>
              <w:rPr>
                <w:rFonts w:hint="eastAsia" w:ascii="新細明體" w:hAnsi="新細明體" w:eastAsia="新細明體" w:cs="新細明體"/>
              </w:rPr>
              <w:t>其他：主管機關及證交所等證券相關機構就證券交易輔助人內部稽核制度或作業所為規定，均應遵守之。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十六、</w:t>
            </w:r>
            <w:r>
              <w:rPr>
                <w:rFonts w:hint="eastAsia" w:ascii="新細明體" w:hAnsi="新細明體" w:eastAsia="新細明體" w:cs="新細明體"/>
              </w:rPr>
              <w:t>公司應訂定適當之風險管理政策與程序，建立獨立有效風險管理機制，以評估及監督整體風險承擔能力、已承受風險現況、決定風險因應策略及風險管理程序遵循情形。</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十六、</w:t>
            </w:r>
            <w:r>
              <w:rPr>
                <w:rFonts w:hint="eastAsia" w:ascii="新細明體" w:hAnsi="新細明體" w:eastAsia="新細明體" w:cs="新細明體"/>
              </w:rPr>
              <w:t>公司應訂定適當之風險管理政策與程序，建立獨立有效風險管理機制，以評估及監督整體風險承擔能力、已承受風險現況、決定風險因應策略及風險管理程序遵循情形。</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十七、</w:t>
            </w:r>
            <w:r>
              <w:rPr>
                <w:rFonts w:hint="eastAsia" w:ascii="新細明體" w:hAnsi="新細明體" w:eastAsia="新細明體" w:cs="新細明體"/>
              </w:rPr>
              <w:t>公司依「期貨商經營證券交易輔助業務管理規則」及相關規定經營證券交易輔助業務，其相關業務之內部控制制度未明訂於本標準規範者，均準用「證券商內部控制制度標準規範」規定（含表單種類及格式）。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十七、</w:t>
            </w:r>
            <w:r>
              <w:rPr>
                <w:rFonts w:hint="eastAsia" w:ascii="新細明體" w:hAnsi="新細明體" w:eastAsia="新細明體" w:cs="新細明體"/>
              </w:rPr>
              <w:t>公司依「期貨商經營證券交易輔助業務管理規則」及相關規定經營證券交易輔助業務，其相關業務之內部控制制度未明訂於本標準規範者，均準用「證券商內部控制制度標準規範」規定（含表單種類及格式）。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4AABF765" w14:textId="77777777">
        <w:tc>
          <w:tcPr>
            <w:tcW w:w="1384" w:type="dxa"/>
            <w:vMerge/>
            <w:tcBorders>
              <w:left w:val="single" w:color="auto" w:sz="12" w:space="0"/>
              <w:bottom w:val="single" w:color="auto" w:sz="12" w:space="0"/>
            </w:tcBorders>
            <w:shd w:val="clear" w:color="auto" w:fill="auto"/>
          </w:tcPr>
          <w:p w:rsidR="003B3105" w:rsidP="001E533B" w:rsidRDefault="003B3105" w14:paraId="0967528F" w14:textId="77777777">
            <w:pPr>
              <w:rPr>
                <w:rFonts w:ascii="新細明體" w:hAnsi="新細明體" w:eastAsia="新細明體"/>
              </w:rPr>
            </w:pPr>
          </w:p>
        </w:tc>
        <w:tc>
          <w:tcPr>
            <w:tcW w:w="1276" w:type="dxa"/>
            <w:vMerge/>
            <w:tcBorders>
              <w:bottom w:val="single" w:color="auto" w:sz="12" w:space="0"/>
            </w:tcBorders>
            <w:shd w:val="clear" w:color="auto" w:fill="auto"/>
          </w:tcPr>
          <w:p w:rsidR="003B3105" w:rsidP="001E533B" w:rsidRDefault="003B3105" w14:paraId="5BD6DB17" w14:textId="77777777">
            <w:pPr>
              <w:rPr>
                <w:rFonts w:ascii="新細明體" w:hAnsi="新細明體" w:eastAsia="新細明體"/>
              </w:rPr>
            </w:pPr>
          </w:p>
        </w:tc>
        <w:tc>
          <w:tcPr>
            <w:tcW w:w="5386" w:type="dxa"/>
            <w:tcBorders>
              <w:top w:val="nil"/>
              <w:bottom w:val="single" w:color="auto" w:sz="12" w:space="0"/>
            </w:tcBorders>
            <w:shd w:val="clear" w:color="auto" w:fill="auto"/>
          </w:tcPr>
          <w:p w:rsidRPr="0068743F" w:rsidR="003B3105" w:rsidP="0027008E" w:rsidRDefault="0027008E" w14:paraId="5C9FE276" w14:textId="126A04A8">
            <w:pPr>
              <w:rPr>
                <w:rFonts w:ascii="新細明體" w:hAnsi="新細明體" w:eastAsia="新細明體" w:cs="新細明體"/>
              </w:rPr>
              <w:ind w:hangingChars="270"/>
            </w:pPr>
            <w:r>
              <w:rPr>
                <w:rFonts w:hint="eastAsia" w:ascii="新細明體" w:hAnsi="新細明體" w:eastAsia="新細明體" w:cs="新細明體"/>
              </w:rPr>
              <w:t>十八、</w:t>
            </w:r>
            <w:r>
              <w:rPr>
                <w:rFonts w:hint="eastAsia" w:ascii="新細明體" w:hAnsi="新細明體" w:eastAsia="新細明體" w:cs="新細明體"/>
              </w:rPr>
              <w:t>本總則未規定之有關事項，應依「期貨商內部控制制度標準規範」辦理。</w:t>
            </w:r>
          </w:p>
        </w:tc>
        <w:tc>
          <w:tcPr>
            <w:tcW w:w="5387" w:type="dxa"/>
            <w:tcBorders>
              <w:top w:val="nil"/>
              <w:bottom w:val="single" w:color="auto" w:sz="12" w:space="0"/>
            </w:tcBorders>
            <w:shd w:val="clear" w:color="auto" w:fill="auto"/>
          </w:tcPr>
          <w:p w:rsidRPr="00F6439B" w:rsidR="003B3105" w:rsidP="0027008E" w:rsidRDefault="0027008E" w14:paraId="7CBFB24A" w14:textId="08415A0E">
            <w:pPr>
              <w:spacing w:line="360" w:lineRule="exact"/>
              <w:rPr>
                <w:rFonts w:ascii="新細明體" w:hAnsi="新細明體" w:eastAsia="新細明體" w:cs="新細明體"/>
              </w:rPr>
              <w:ind w:hangingChars="270"/>
            </w:pPr>
            <w:r>
              <w:rPr>
                <w:rFonts w:hint="eastAsia" w:ascii="新細明體" w:hAnsi="新細明體" w:eastAsia="新細明體" w:cs="新細明體"/>
              </w:rPr>
              <w:t>十八、</w:t>
            </w:r>
            <w:r>
              <w:rPr>
                <w:rFonts w:hint="eastAsia" w:ascii="新細明體" w:hAnsi="新細明體" w:eastAsia="新細明體" w:cs="新細明體"/>
              </w:rPr>
              <w:t>本總則未規定之有關事項，應依「期貨商內部控制制度標準規範」辦理。</w:t>
            </w:r>
          </w:p>
        </w:tc>
        <w:tc>
          <w:tcPr>
            <w:tcW w:w="2023" w:type="dxa"/>
            <w:vMerge/>
            <w:tcBorders>
              <w:bottom w:val="single" w:color="auto" w:sz="12" w:space="0"/>
              <w:right w:val="single" w:color="auto" w:sz="12" w:space="0"/>
            </w:tcBorders>
            <w:shd w:val="clear" w:color="auto" w:fill="auto"/>
          </w:tcPr>
          <w:p w:rsidR="003B3105" w:rsidP="003B3105" w:rsidRDefault="003B3105" w14:paraId="6127B086" w14:textId="77777777">
            <w:pPr>
              <w:spacing w:line="360" w:lineRule="exact"/>
              <w:ind w:left="28" w:right="28"/>
              <w:rPr>
                <w:rFonts w:ascii="新細明體" w:hAnsi="新細明體" w:eastAsia="新細明體" w:cs="Times New Roman"/>
                <w:color w:val="FF0000"/>
                <w:spacing w:val="20"/>
                <w:szCs w:val="20"/>
                <w:u w:val="single"/>
              </w:rPr>
            </w:pPr>
          </w:p>
        </w:tc>
      </w:tr>
    </w:tbl>
    <w:p w:rsidRPr="00F6439B" w:rsidR="001E533B" w:rsidP="00A24FFC" w:rsidRDefault="001E533B" w14:paraId="423EBB0D" w14:textId="77777777">
      <w:pPr>
        <w:rPr>
          <w:rFonts w:ascii="新細明體" w:hAnsi="新細明體" w:eastAsia="新細明體"/>
        </w:rPr>
      </w:pPr>
    </w:p>
    <w:sectPr w:rsidRPr="00F6439B" w:rsidR="001E533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74005" w14:textId="77777777" w:rsidR="003F2929" w:rsidRDefault="003F2929" w:rsidP="00E87601">
      <w:pPr>
        <w:spacing w:line="240" w:lineRule="auto"/>
      </w:pPr>
      <w:r>
        <w:separator/>
      </w:r>
    </w:p>
  </w:endnote>
  <w:endnote w:type="continuationSeparator" w:id="0">
    <w:p w14:paraId="17EE3F88" w14:textId="77777777" w:rsidR="003F2929" w:rsidRDefault="003F2929"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D569C" w14:textId="77777777" w:rsidR="003F2929" w:rsidRDefault="003F2929" w:rsidP="00E87601">
      <w:pPr>
        <w:spacing w:line="240" w:lineRule="auto"/>
      </w:pPr>
      <w:r>
        <w:separator/>
      </w:r>
    </w:p>
  </w:footnote>
  <w:footnote w:type="continuationSeparator" w:id="0">
    <w:p w14:paraId="13DC15AB" w14:textId="77777777" w:rsidR="003F2929" w:rsidRDefault="003F2929"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14</Words>
  <Characters>86</Characters>
  <Application>Microsoft Office Word</Application>
  <DocSecurity>0</DocSecurity>
  <Lines>1</Lines>
  <Paragraphs>1</Paragraphs>
  <ScaleCrop>false</ScaleCrop>
  <Company>Hewlett-Packard Company</Company>
  <LinksUpToDate>false</LinksUpToDate>
  <CharactersWithSpaces>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Lawrence, Cheng 程昱偉</cp:lastModifiedBy>
  <cp:revision>13</cp:revision>
  <cp:lastPrinted>2004-03-09T19:20:00Z</cp:lastPrinted>
  <dcterms:created xsi:type="dcterms:W3CDTF">2025-04-18T10:47:00Z</dcterms:created>
  <dcterms:modified xsi:type="dcterms:W3CDTF">2025-09-09T08:25:00Z</dcterms:modified>
</cp:coreProperties>
</file>